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6663"/>
        </w:tabs>
        <w:rPr>
          <w:rFonts w:ascii="仿宋_GB2312" w:hAnsi="仿宋_GB2312" w:eastAsia="仿宋_GB2312"/>
          <w:sz w:val="32"/>
        </w:rPr>
      </w:pPr>
      <w:r>
        <w:rPr>
          <w:rFonts w:hint="eastAsia" w:ascii="黑体" w:hAnsi="黑体" w:eastAsia="黑体"/>
          <w:sz w:val="32"/>
        </w:rPr>
        <w:t>附件</w:t>
      </w:r>
      <w:r>
        <w:rPr>
          <w:rFonts w:ascii="黑体" w:hAnsi="黑体" w:eastAsia="黑体"/>
          <w:sz w:val="32"/>
        </w:rPr>
        <w:t>2</w:t>
      </w:r>
    </w:p>
    <w:p>
      <w:pPr>
        <w:spacing w:line="600" w:lineRule="exact"/>
        <w:ind w:firstLine="640" w:firstLineChars="200"/>
        <w:jc w:val="left"/>
        <w:rPr>
          <w:rFonts w:ascii="仿宋_GB2312" w:hAnsi="仿宋_GB2312" w:eastAsia="仿宋_GB2312"/>
          <w:sz w:val="32"/>
        </w:rPr>
      </w:pPr>
    </w:p>
    <w:p>
      <w:pPr>
        <w:spacing w:line="600" w:lineRule="exact"/>
        <w:jc w:val="left"/>
        <w:rPr>
          <w:rFonts w:ascii="仿宋_GB2312" w:hAnsi="仿宋_GB2312" w:eastAsia="仿宋_GB2312"/>
          <w:sz w:val="32"/>
        </w:rPr>
      </w:pPr>
    </w:p>
    <w:p>
      <w:pPr>
        <w:pStyle w:val="25"/>
        <w:rPr>
          <w:rFonts w:ascii="华文中宋" w:hAnsi="华文中宋" w:eastAsia="华文中宋"/>
          <w:b w:val="0"/>
          <w:sz w:val="44"/>
        </w:rPr>
      </w:pPr>
      <w:r>
        <w:rPr>
          <w:rFonts w:hint="eastAsia" w:ascii="华文中宋" w:hAnsi="华文中宋" w:eastAsia="华文中宋"/>
          <w:b w:val="0"/>
          <w:sz w:val="44"/>
        </w:rPr>
        <w:t>北京市绿色数据中心</w:t>
      </w:r>
      <w:r>
        <w:rPr>
          <w:rFonts w:hint="eastAsia" w:ascii="华文中宋" w:hAnsi="华文中宋" w:eastAsia="华文中宋"/>
          <w:b w:val="0"/>
          <w:sz w:val="44"/>
          <w:lang w:eastAsia="zh-CN"/>
        </w:rPr>
        <w:t>第三方评价</w:t>
      </w:r>
      <w:r>
        <w:rPr>
          <w:rFonts w:hint="eastAsia" w:ascii="华文中宋" w:hAnsi="华文中宋" w:eastAsia="华文中宋"/>
          <w:b w:val="0"/>
          <w:sz w:val="44"/>
        </w:rPr>
        <w:t>报告</w:t>
      </w:r>
    </w:p>
    <w:p/>
    <w:p>
      <w:pPr>
        <w:rPr>
          <w:sz w:val="32"/>
        </w:rPr>
      </w:pPr>
    </w:p>
    <w:p>
      <w:pPr>
        <w:rPr>
          <w:sz w:val="32"/>
        </w:rPr>
      </w:pPr>
    </w:p>
    <w:p>
      <w:pPr>
        <w:rPr>
          <w:sz w:val="32"/>
        </w:rPr>
      </w:pPr>
    </w:p>
    <w:p>
      <w:pPr>
        <w:rPr>
          <w:sz w:val="32"/>
        </w:rPr>
      </w:pPr>
    </w:p>
    <w:p>
      <w:pPr>
        <w:rPr>
          <w:sz w:val="32"/>
        </w:rPr>
      </w:pPr>
    </w:p>
    <w:p>
      <w:pPr>
        <w:rPr>
          <w:sz w:val="32"/>
        </w:rPr>
      </w:pPr>
    </w:p>
    <w:tbl>
      <w:tblPr>
        <w:tblStyle w:val="17"/>
        <w:tblW w:w="8946" w:type="dxa"/>
        <w:tblInd w:w="0" w:type="dxa"/>
        <w:tblLayout w:type="fixed"/>
        <w:tblCellMar>
          <w:top w:w="0" w:type="dxa"/>
          <w:left w:w="108" w:type="dxa"/>
          <w:bottom w:w="0" w:type="dxa"/>
          <w:right w:w="108" w:type="dxa"/>
        </w:tblCellMar>
      </w:tblPr>
      <w:tblGrid>
        <w:gridCol w:w="3138"/>
        <w:gridCol w:w="656"/>
        <w:gridCol w:w="5152"/>
      </w:tblGrid>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数据中心名称</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r>
              <w:rPr>
                <w:rFonts w:hint="eastAsia" w:ascii="楷体_GB2312" w:hAnsi="楷体_GB2312" w:eastAsia="楷体_GB2312"/>
                <w:sz w:val="32"/>
              </w:rPr>
              <w:t>第三方评价机构名称</w:t>
            </w:r>
          </w:p>
        </w:tc>
        <w:tc>
          <w:tcPr>
            <w:tcW w:w="656" w:type="dxa"/>
            <w:shd w:val="clear" w:color="auto" w:fill="auto"/>
          </w:tcPr>
          <w:p>
            <w:pPr>
              <w:rPr>
                <w:rFonts w:ascii="楷体_GB2312" w:hAnsi="楷体_GB2312" w:eastAsia="楷体_GB2312"/>
                <w:sz w:val="32"/>
              </w:rPr>
            </w:pPr>
            <w:r>
              <w:rPr>
                <w:rFonts w:hint="eastAsia" w:ascii="楷体_GB2312" w:hAnsi="楷体_GB2312" w:eastAsia="楷体_GB2312"/>
                <w:sz w:val="32"/>
              </w:rPr>
              <w:t>：</w:t>
            </w:r>
          </w:p>
        </w:tc>
        <w:tc>
          <w:tcPr>
            <w:tcW w:w="5152" w:type="dxa"/>
            <w:shd w:val="clear" w:color="auto" w:fill="auto"/>
          </w:tcPr>
          <w:p>
            <w:pPr>
              <w:rPr>
                <w:rFonts w:ascii="楷体_GB2312" w:hAnsi="楷体_GB2312" w:eastAsia="楷体_GB2312"/>
                <w:sz w:val="32"/>
              </w:rPr>
            </w:pPr>
          </w:p>
        </w:tc>
      </w:tr>
      <w:tr>
        <w:tblPrEx>
          <w:tblLayout w:type="fixed"/>
          <w:tblCellMar>
            <w:top w:w="0" w:type="dxa"/>
            <w:left w:w="108" w:type="dxa"/>
            <w:bottom w:w="0" w:type="dxa"/>
            <w:right w:w="108" w:type="dxa"/>
          </w:tblCellMar>
        </w:tblPrEx>
        <w:tc>
          <w:tcPr>
            <w:tcW w:w="3138" w:type="dxa"/>
            <w:shd w:val="clear" w:color="auto" w:fill="auto"/>
          </w:tcPr>
          <w:p>
            <w:pPr>
              <w:jc w:val="distribute"/>
              <w:rPr>
                <w:rFonts w:ascii="楷体_GB2312" w:hAnsi="楷体_GB2312" w:eastAsia="楷体_GB2312"/>
                <w:sz w:val="32"/>
              </w:rPr>
            </w:pPr>
          </w:p>
        </w:tc>
        <w:tc>
          <w:tcPr>
            <w:tcW w:w="656" w:type="dxa"/>
            <w:shd w:val="clear" w:color="auto" w:fill="auto"/>
          </w:tcPr>
          <w:p>
            <w:pPr>
              <w:rPr>
                <w:rFonts w:ascii="楷体_GB2312" w:hAnsi="楷体_GB2312" w:eastAsia="楷体_GB2312"/>
                <w:sz w:val="32"/>
              </w:rPr>
            </w:pPr>
          </w:p>
        </w:tc>
        <w:tc>
          <w:tcPr>
            <w:tcW w:w="5152" w:type="dxa"/>
            <w:shd w:val="clear" w:color="auto" w:fill="auto"/>
          </w:tcPr>
          <w:p>
            <w:pPr>
              <w:rPr>
                <w:rFonts w:ascii="楷体_GB2312" w:hAnsi="楷体_GB2312" w:eastAsia="楷体_GB2312"/>
                <w:sz w:val="32"/>
              </w:rPr>
            </w:pPr>
          </w:p>
        </w:tc>
      </w:tr>
    </w:tbl>
    <w:p>
      <w:pPr>
        <w:rPr>
          <w:sz w:val="32"/>
        </w:rPr>
      </w:pPr>
    </w:p>
    <w:p>
      <w:pPr>
        <w:rPr>
          <w:sz w:val="32"/>
        </w:rPr>
      </w:pPr>
    </w:p>
    <w:p>
      <w:pPr>
        <w:rPr>
          <w:sz w:val="32"/>
        </w:rPr>
      </w:pPr>
    </w:p>
    <w:p>
      <w:pPr>
        <w:jc w:val="center"/>
        <w:rPr>
          <w:rFonts w:ascii="楷体_GB2312" w:eastAsia="楷体_GB2312"/>
          <w:b/>
          <w:sz w:val="36"/>
        </w:rPr>
      </w:pPr>
    </w:p>
    <w:p>
      <w:pPr>
        <w:jc w:val="center"/>
        <w:rPr>
          <w:rFonts w:ascii="楷体_GB2312" w:eastAsia="楷体_GB2312"/>
          <w:b/>
          <w:sz w:val="36"/>
        </w:rPr>
      </w:pPr>
      <w:r>
        <w:rPr>
          <w:rFonts w:ascii="楷体_GB2312" w:eastAsia="楷体_GB2312"/>
          <w:b/>
          <w:sz w:val="36"/>
        </w:rPr>
        <w:t xml:space="preserve">20  </w:t>
      </w:r>
      <w:r>
        <w:rPr>
          <w:rFonts w:hint="eastAsia" w:ascii="楷体_GB2312" w:eastAsia="楷体_GB2312"/>
          <w:b/>
          <w:sz w:val="36"/>
        </w:rPr>
        <w:t>年</w:t>
      </w:r>
      <w:r>
        <w:rPr>
          <w:rFonts w:hint="eastAsia" w:ascii="楷体_GB2312" w:eastAsia="楷体_GB2312"/>
          <w:b/>
          <w:sz w:val="36"/>
          <w:lang w:val="en-US" w:eastAsia="zh-CN"/>
        </w:rPr>
        <w:t xml:space="preserve">  </w:t>
      </w:r>
      <w:r>
        <w:rPr>
          <w:rFonts w:hint="eastAsia" w:ascii="楷体_GB2312" w:eastAsia="楷体_GB2312"/>
          <w:b/>
          <w:sz w:val="36"/>
        </w:rPr>
        <w:t>月</w:t>
      </w:r>
      <w:r>
        <w:rPr>
          <w:rFonts w:hint="eastAsia" w:ascii="楷体_GB2312" w:eastAsia="楷体_GB2312"/>
          <w:b/>
          <w:sz w:val="36"/>
          <w:lang w:val="en-US" w:eastAsia="zh-CN"/>
        </w:rPr>
        <w:t xml:space="preserve">  </w:t>
      </w:r>
      <w:r>
        <w:rPr>
          <w:rFonts w:hint="eastAsia" w:ascii="楷体_GB2312" w:eastAsia="楷体_GB2312"/>
          <w:b/>
          <w:sz w:val="36"/>
        </w:rPr>
        <w:t>日</w:t>
      </w:r>
    </w:p>
    <w:p>
      <w:pPr>
        <w:pStyle w:val="5"/>
        <w:spacing w:after="26" w:line="520" w:lineRule="exact"/>
        <w:ind w:left="3154" w:right="3154"/>
        <w:jc w:val="center"/>
        <w:rPr>
          <w:rFonts w:ascii="仿宋_GB2312" w:hAnsi="宋体" w:eastAsia="仿宋_GB2312" w:cs="Times New Roman"/>
          <w:b/>
          <w:sz w:val="36"/>
          <w:szCs w:val="20"/>
          <w:lang w:eastAsia="zh-CN"/>
        </w:rPr>
      </w:pPr>
      <w:r>
        <w:rPr>
          <w:rFonts w:hint="eastAsia" w:ascii="仿宋_GB2312" w:eastAsia="仿宋_GB2312"/>
        </w:rPr>
        <w:br w:type="page"/>
      </w:r>
      <w:r>
        <w:rPr>
          <w:rFonts w:hint="eastAsia" w:ascii="仿宋_GB2312" w:hAnsi="宋体" w:eastAsia="仿宋_GB2312" w:cs="Times New Roman"/>
          <w:b/>
          <w:sz w:val="36"/>
          <w:szCs w:val="20"/>
          <w:lang w:eastAsia="zh-CN"/>
        </w:rPr>
        <w:t>基本信息表</w:t>
      </w:r>
    </w:p>
    <w:tbl>
      <w:tblPr>
        <w:tblStyle w:val="17"/>
        <w:tblW w:w="8522" w:type="dxa"/>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35"/>
        <w:gridCol w:w="2268"/>
        <w:gridCol w:w="1701"/>
        <w:gridCol w:w="2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8522" w:type="dxa"/>
            <w:gridSpan w:val="4"/>
            <w:shd w:val="clear" w:color="auto" w:fill="auto"/>
          </w:tcPr>
          <w:p>
            <w:pPr>
              <w:pStyle w:val="27"/>
              <w:spacing w:before="15"/>
              <w:ind w:left="107"/>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一、数据中心基本信息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2235" w:type="dxa"/>
            <w:shd w:val="clear" w:color="auto" w:fill="auto"/>
          </w:tcPr>
          <w:p>
            <w:pPr>
              <w:pStyle w:val="27"/>
              <w:spacing w:before="14"/>
              <w:ind w:left="135" w:right="129"/>
              <w:jc w:val="center"/>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数据中心</w:t>
            </w:r>
            <w:r>
              <w:rPr>
                <w:rFonts w:ascii="仿宋_GB2312" w:hAnsi="宋体" w:eastAsia="仿宋_GB2312" w:cs="Times New Roman"/>
                <w:sz w:val="24"/>
                <w:szCs w:val="20"/>
                <w:lang w:eastAsia="zh-CN"/>
              </w:rPr>
              <w:t>名称</w:t>
            </w:r>
          </w:p>
        </w:tc>
        <w:tc>
          <w:tcPr>
            <w:tcW w:w="6287" w:type="dxa"/>
            <w:gridSpan w:val="3"/>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2235" w:type="dxa"/>
            <w:shd w:val="clear" w:color="auto" w:fill="auto"/>
          </w:tcPr>
          <w:p>
            <w:pPr>
              <w:pStyle w:val="27"/>
              <w:spacing w:before="15"/>
              <w:ind w:left="135" w:right="129"/>
              <w:jc w:val="center"/>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数据中心</w:t>
            </w:r>
            <w:r>
              <w:rPr>
                <w:rFonts w:ascii="仿宋_GB2312" w:hAnsi="宋体" w:eastAsia="仿宋_GB2312" w:cs="Times New Roman"/>
                <w:sz w:val="24"/>
                <w:szCs w:val="20"/>
                <w:lang w:eastAsia="zh-CN"/>
              </w:rPr>
              <w:t>地址</w:t>
            </w:r>
          </w:p>
        </w:tc>
        <w:tc>
          <w:tcPr>
            <w:tcW w:w="6287" w:type="dxa"/>
            <w:gridSpan w:val="3"/>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2235" w:type="dxa"/>
            <w:shd w:val="clear" w:color="auto" w:fill="auto"/>
          </w:tcPr>
          <w:p>
            <w:pPr>
              <w:pStyle w:val="27"/>
              <w:spacing w:before="14"/>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统一社会信用代码</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4"/>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单位性质</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6" w:hRule="atLeast"/>
        </w:trPr>
        <w:tc>
          <w:tcPr>
            <w:tcW w:w="2235" w:type="dxa"/>
            <w:shd w:val="clear" w:color="auto" w:fill="auto"/>
          </w:tcPr>
          <w:p>
            <w:pPr>
              <w:pStyle w:val="27"/>
              <w:spacing w:before="16"/>
              <w:ind w:left="135" w:right="129"/>
              <w:jc w:val="center"/>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数据中心</w:t>
            </w:r>
            <w:r>
              <w:rPr>
                <w:rFonts w:ascii="仿宋_GB2312" w:hAnsi="宋体" w:eastAsia="仿宋_GB2312" w:cs="Times New Roman"/>
                <w:sz w:val="24"/>
                <w:szCs w:val="20"/>
                <w:lang w:eastAsia="zh-CN"/>
              </w:rPr>
              <w:t>法定代表人</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6"/>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法人代表电话</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2235" w:type="dxa"/>
            <w:shd w:val="clear" w:color="auto" w:fill="auto"/>
          </w:tcPr>
          <w:p>
            <w:pPr>
              <w:pStyle w:val="27"/>
              <w:spacing w:before="15"/>
              <w:ind w:left="135" w:right="129"/>
              <w:jc w:val="center"/>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数据中心</w:t>
            </w:r>
            <w:r>
              <w:rPr>
                <w:rFonts w:ascii="仿宋_GB2312" w:hAnsi="宋体" w:eastAsia="仿宋_GB2312" w:cs="Times New Roman"/>
                <w:sz w:val="24"/>
                <w:szCs w:val="20"/>
                <w:lang w:eastAsia="zh-CN"/>
              </w:rPr>
              <w:t>联系人</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5"/>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联系人电话</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235" w:type="dxa"/>
            <w:shd w:val="clear" w:color="auto" w:fill="auto"/>
          </w:tcPr>
          <w:p>
            <w:pPr>
              <w:pStyle w:val="27"/>
              <w:spacing w:before="14"/>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电子邮件</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4"/>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传真</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8522" w:type="dxa"/>
            <w:gridSpan w:val="4"/>
            <w:shd w:val="clear" w:color="auto" w:fill="auto"/>
          </w:tcPr>
          <w:p>
            <w:pPr>
              <w:pStyle w:val="27"/>
              <w:spacing w:before="15"/>
              <w:ind w:left="107"/>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二、第三方机构信息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235" w:type="dxa"/>
            <w:shd w:val="clear" w:color="auto" w:fill="auto"/>
          </w:tcPr>
          <w:p>
            <w:pPr>
              <w:pStyle w:val="27"/>
              <w:spacing w:before="14"/>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第三方机构名称</w:t>
            </w:r>
          </w:p>
        </w:tc>
        <w:tc>
          <w:tcPr>
            <w:tcW w:w="6287" w:type="dxa"/>
            <w:gridSpan w:val="3"/>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7" w:hRule="atLeast"/>
        </w:trPr>
        <w:tc>
          <w:tcPr>
            <w:tcW w:w="2235" w:type="dxa"/>
            <w:shd w:val="clear" w:color="auto" w:fill="auto"/>
          </w:tcPr>
          <w:p>
            <w:pPr>
              <w:pStyle w:val="27"/>
              <w:spacing w:before="15"/>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第三方机构地址</w:t>
            </w:r>
          </w:p>
        </w:tc>
        <w:tc>
          <w:tcPr>
            <w:tcW w:w="6287" w:type="dxa"/>
            <w:gridSpan w:val="3"/>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2235" w:type="dxa"/>
            <w:shd w:val="clear" w:color="auto" w:fill="auto"/>
          </w:tcPr>
          <w:p>
            <w:pPr>
              <w:pStyle w:val="27"/>
              <w:spacing w:before="15"/>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机构法定代表人</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5"/>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法人代表电话</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235" w:type="dxa"/>
            <w:shd w:val="clear" w:color="auto" w:fill="auto"/>
          </w:tcPr>
          <w:p>
            <w:pPr>
              <w:pStyle w:val="27"/>
              <w:spacing w:before="13"/>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机构联系人</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3"/>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联系人电话</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7" w:hRule="atLeast"/>
        </w:trPr>
        <w:tc>
          <w:tcPr>
            <w:tcW w:w="2235" w:type="dxa"/>
            <w:shd w:val="clear" w:color="auto" w:fill="auto"/>
          </w:tcPr>
          <w:p>
            <w:pPr>
              <w:pStyle w:val="27"/>
              <w:spacing w:before="15"/>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报告编制负责人</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5"/>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负责人电话</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235" w:type="dxa"/>
            <w:shd w:val="clear" w:color="auto" w:fill="auto"/>
          </w:tcPr>
          <w:p>
            <w:pPr>
              <w:pStyle w:val="27"/>
              <w:spacing w:before="14"/>
              <w:ind w:left="135" w:right="129"/>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报告审核人</w:t>
            </w:r>
          </w:p>
        </w:tc>
        <w:tc>
          <w:tcPr>
            <w:tcW w:w="2268" w:type="dxa"/>
            <w:shd w:val="clear" w:color="auto" w:fill="auto"/>
          </w:tcPr>
          <w:p>
            <w:pPr>
              <w:pStyle w:val="27"/>
              <w:rPr>
                <w:rFonts w:ascii="仿宋_GB2312" w:hAnsi="宋体" w:eastAsia="仿宋_GB2312" w:cs="Times New Roman"/>
                <w:sz w:val="24"/>
                <w:szCs w:val="20"/>
                <w:lang w:eastAsia="zh-CN"/>
              </w:rPr>
            </w:pPr>
          </w:p>
        </w:tc>
        <w:tc>
          <w:tcPr>
            <w:tcW w:w="1701" w:type="dxa"/>
            <w:shd w:val="clear" w:color="auto" w:fill="auto"/>
          </w:tcPr>
          <w:p>
            <w:pPr>
              <w:pStyle w:val="27"/>
              <w:spacing w:before="14"/>
              <w:ind w:left="108" w:right="102"/>
              <w:jc w:val="center"/>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审核人电话</w:t>
            </w:r>
          </w:p>
        </w:tc>
        <w:tc>
          <w:tcPr>
            <w:tcW w:w="2318" w:type="dxa"/>
            <w:shd w:val="clear" w:color="auto" w:fill="auto"/>
          </w:tcPr>
          <w:p>
            <w:pPr>
              <w:pStyle w:val="27"/>
              <w:rPr>
                <w:rFonts w:ascii="仿宋_GB2312" w:hAnsi="宋体" w:eastAsia="仿宋_GB2312" w:cs="Times New Roman"/>
                <w:sz w:val="24"/>
                <w:szCs w:val="2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7" w:hRule="atLeast"/>
        </w:trPr>
        <w:tc>
          <w:tcPr>
            <w:tcW w:w="8522" w:type="dxa"/>
            <w:gridSpan w:val="4"/>
            <w:shd w:val="clear" w:color="auto" w:fill="auto"/>
          </w:tcPr>
          <w:p>
            <w:pPr>
              <w:pStyle w:val="27"/>
              <w:spacing w:before="15"/>
              <w:ind w:left="107"/>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三、绿色数据中心评价结果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8522" w:type="dxa"/>
            <w:gridSpan w:val="4"/>
            <w:shd w:val="clear" w:color="auto" w:fill="auto"/>
          </w:tcPr>
          <w:p>
            <w:pPr>
              <w:pStyle w:val="27"/>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指标得分</w:t>
            </w:r>
            <w:r>
              <w:rPr>
                <w:rFonts w:hint="eastAsia" w:ascii="仿宋_GB2312" w:hAnsi="宋体" w:eastAsia="仿宋_GB2312" w:cs="Times New Roman"/>
                <w:sz w:val="24"/>
                <w:szCs w:val="20"/>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88" w:hRule="atLeast"/>
        </w:trPr>
        <w:tc>
          <w:tcPr>
            <w:tcW w:w="8522" w:type="dxa"/>
            <w:gridSpan w:val="4"/>
            <w:shd w:val="clear" w:color="auto" w:fill="auto"/>
          </w:tcPr>
          <w:p>
            <w:pPr>
              <w:pStyle w:val="27"/>
              <w:spacing w:line="220" w:lineRule="auto"/>
              <w:ind w:left="107" w:right="-29" w:firstLine="480"/>
              <w:rPr>
                <w:rFonts w:ascii="仿宋_GB2312" w:hAnsi="宋体" w:eastAsia="仿宋_GB2312" w:cs="Times New Roman"/>
                <w:sz w:val="24"/>
                <w:szCs w:val="20"/>
                <w:lang w:eastAsia="zh-CN"/>
              </w:rPr>
            </w:pPr>
          </w:p>
          <w:p>
            <w:pPr>
              <w:pStyle w:val="27"/>
              <w:spacing w:line="220" w:lineRule="auto"/>
              <w:ind w:left="107" w:right="-29" w:firstLine="480"/>
              <w:rPr>
                <w:rFonts w:ascii="仿宋_GB2312" w:hAnsi="宋体" w:eastAsia="仿宋_GB2312" w:cs="Times New Roman"/>
                <w:sz w:val="24"/>
                <w:szCs w:val="20"/>
                <w:lang w:eastAsia="zh-CN"/>
              </w:rPr>
            </w:pPr>
          </w:p>
          <w:p>
            <w:pPr>
              <w:pStyle w:val="27"/>
              <w:spacing w:line="220" w:lineRule="auto"/>
              <w:ind w:left="107" w:right="-29" w:firstLine="480"/>
              <w:rPr>
                <w:rFonts w:ascii="仿宋_GB2312" w:hAnsi="宋体" w:eastAsia="仿宋_GB2312" w:cs="Times New Roman"/>
                <w:sz w:val="24"/>
                <w:szCs w:val="20"/>
                <w:lang w:eastAsia="zh-CN"/>
              </w:rPr>
            </w:pPr>
            <w:r>
              <w:rPr>
                <w:rFonts w:ascii="仿宋_GB2312" w:hAnsi="宋体" w:eastAsia="仿宋_GB2312" w:cs="Times New Roman"/>
                <w:sz w:val="24"/>
                <w:szCs w:val="20"/>
                <w:lang w:eastAsia="zh-CN"/>
              </w:rPr>
              <w:t>本机构承诺，已对申请单位材料进行了全面审核，材料真实有效，第三方评价程序规范完整，结论客观公正。评价报告若存在弄虚作假，本机构愿承担责任。</w:t>
            </w:r>
          </w:p>
          <w:p>
            <w:pPr>
              <w:pStyle w:val="27"/>
              <w:spacing w:before="10"/>
              <w:rPr>
                <w:rFonts w:ascii="仿宋_GB2312" w:hAnsi="宋体" w:eastAsia="仿宋_GB2312" w:cs="Times New Roman"/>
                <w:sz w:val="24"/>
                <w:szCs w:val="20"/>
                <w:lang w:eastAsia="zh-CN"/>
              </w:rPr>
            </w:pPr>
          </w:p>
          <w:p>
            <w:pPr>
              <w:pStyle w:val="27"/>
              <w:ind w:left="5174"/>
              <w:rPr>
                <w:rFonts w:ascii="仿宋_GB2312" w:hAnsi="宋体" w:eastAsia="仿宋_GB2312" w:cs="Times New Roman"/>
                <w:sz w:val="24"/>
                <w:szCs w:val="20"/>
                <w:lang w:eastAsia="zh-CN"/>
              </w:rPr>
            </w:pPr>
          </w:p>
          <w:p>
            <w:pPr>
              <w:pStyle w:val="27"/>
              <w:ind w:left="5174"/>
              <w:rPr>
                <w:rFonts w:ascii="仿宋_GB2312" w:hAnsi="宋体" w:eastAsia="仿宋_GB2312" w:cs="Times New Roman"/>
                <w:sz w:val="24"/>
                <w:szCs w:val="20"/>
                <w:lang w:eastAsia="zh-CN"/>
              </w:rPr>
            </w:pPr>
          </w:p>
          <w:p>
            <w:pPr>
              <w:pStyle w:val="27"/>
              <w:ind w:left="5174"/>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负责人签字：</w:t>
            </w:r>
          </w:p>
          <w:p>
            <w:pPr>
              <w:pStyle w:val="27"/>
              <w:spacing w:before="4"/>
              <w:rPr>
                <w:rFonts w:ascii="仿宋_GB2312" w:hAnsi="宋体" w:eastAsia="仿宋_GB2312" w:cs="Times New Roman"/>
                <w:sz w:val="24"/>
                <w:szCs w:val="20"/>
                <w:lang w:eastAsia="zh-CN"/>
              </w:rPr>
            </w:pPr>
          </w:p>
          <w:p>
            <w:pPr>
              <w:pStyle w:val="27"/>
              <w:ind w:left="5294"/>
              <w:rPr>
                <w:rFonts w:ascii="仿宋_GB2312" w:hAnsi="宋体" w:eastAsia="仿宋_GB2312" w:cs="Times New Roman"/>
                <w:sz w:val="24"/>
                <w:szCs w:val="20"/>
                <w:lang w:eastAsia="zh-CN"/>
              </w:rPr>
            </w:pPr>
            <w:r>
              <w:rPr>
                <w:rFonts w:hint="eastAsia" w:ascii="仿宋_GB2312" w:hAnsi="宋体" w:eastAsia="仿宋_GB2312" w:cs="Times New Roman"/>
                <w:sz w:val="24"/>
                <w:szCs w:val="20"/>
                <w:lang w:eastAsia="zh-CN"/>
              </w:rPr>
              <w:t>（单位公章）</w:t>
            </w:r>
          </w:p>
        </w:tc>
      </w:tr>
    </w:tbl>
    <w:p>
      <w:pPr>
        <w:rPr>
          <w:rFonts w:ascii="宋体" w:hAnsi="宋体"/>
          <w:sz w:val="24"/>
        </w:rPr>
        <w:sectPr>
          <w:headerReference r:id="rId3" w:type="default"/>
          <w:footerReference r:id="rId4" w:type="default"/>
          <w:footerReference r:id="rId5" w:type="even"/>
          <w:pgSz w:w="11910" w:h="16840"/>
          <w:pgMar w:top="1500" w:right="1580" w:bottom="280" w:left="1580" w:header="720" w:footer="720" w:gutter="0"/>
          <w:pgNumType w:fmt="numberInDash"/>
          <w:cols w:space="720" w:num="1"/>
        </w:sectPr>
      </w:pPr>
    </w:p>
    <w:p>
      <w:pPr>
        <w:keepNext w:val="0"/>
        <w:keepLines w:val="0"/>
        <w:pageBreakBefore w:val="0"/>
        <w:widowControl/>
        <w:kinsoku/>
        <w:wordWrap/>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b w:val="0"/>
          <w:bCs/>
          <w:sz w:val="40"/>
        </w:rPr>
      </w:pPr>
      <w:r>
        <w:rPr>
          <w:rFonts w:hint="eastAsia" w:ascii="方正小标宋简体" w:hAnsi="方正小标宋简体" w:eastAsia="方正小标宋简体" w:cs="方正小标宋简体"/>
          <w:b w:val="0"/>
          <w:bCs/>
          <w:sz w:val="40"/>
        </w:rPr>
        <w:t>绿色数据中心评价报告（格式）</w:t>
      </w:r>
    </w:p>
    <w:p>
      <w:pPr>
        <w:keepNext w:val="0"/>
        <w:keepLines w:val="0"/>
        <w:pageBreakBefore w:val="0"/>
        <w:widowControl/>
        <w:kinsoku/>
        <w:wordWrap/>
        <w:overflowPunct/>
        <w:topLinePunct w:val="0"/>
        <w:autoSpaceDE/>
        <w:autoSpaceDN/>
        <w:bidi w:val="0"/>
        <w:adjustRightInd/>
        <w:snapToGrid/>
        <w:spacing w:line="520" w:lineRule="exact"/>
        <w:ind w:left="640"/>
        <w:jc w:val="center"/>
        <w:textAlignment w:val="auto"/>
        <w:outlineLvl w:val="9"/>
        <w:rPr>
          <w:rFonts w:ascii="宋体" w:hAnsi="宋体"/>
          <w:b/>
          <w:sz w:val="40"/>
        </w:rPr>
      </w:pP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640" w:leftChars="0"/>
        <w:jc w:val="left"/>
        <w:textAlignment w:val="auto"/>
        <w:outlineLvl w:val="9"/>
        <w:rPr>
          <w:rFonts w:ascii="仿宋_GB2312" w:eastAsia="仿宋_GB2312"/>
          <w:b/>
          <w:sz w:val="32"/>
        </w:rPr>
      </w:pPr>
      <w:r>
        <w:rPr>
          <w:rFonts w:hint="eastAsia" w:ascii="仿宋_GB2312" w:eastAsia="仿宋_GB2312"/>
          <w:b/>
          <w:sz w:val="32"/>
          <w:lang w:eastAsia="zh-CN"/>
        </w:rPr>
        <w:t>一、</w:t>
      </w:r>
      <w:r>
        <w:rPr>
          <w:rFonts w:hint="eastAsia" w:ascii="仿宋_GB2312" w:eastAsia="仿宋_GB2312"/>
          <w:b/>
          <w:sz w:val="32"/>
        </w:rPr>
        <w:t>概述</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主要介绍绿色数据中心评价的目的、范围及准则。</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640" w:leftChars="0"/>
        <w:jc w:val="left"/>
        <w:textAlignment w:val="auto"/>
        <w:outlineLvl w:val="9"/>
        <w:rPr>
          <w:rFonts w:ascii="仿宋_GB2312" w:eastAsia="仿宋_GB2312"/>
          <w:b/>
          <w:sz w:val="32"/>
        </w:rPr>
      </w:pPr>
      <w:r>
        <w:rPr>
          <w:rFonts w:hint="eastAsia" w:ascii="仿宋_GB2312" w:eastAsia="仿宋_GB2312"/>
          <w:b/>
          <w:sz w:val="32"/>
          <w:lang w:eastAsia="zh-CN"/>
        </w:rPr>
        <w:t>二、</w:t>
      </w:r>
      <w:r>
        <w:rPr>
          <w:rFonts w:hint="eastAsia" w:ascii="仿宋_GB2312" w:eastAsia="仿宋_GB2312"/>
          <w:b/>
          <w:sz w:val="32"/>
        </w:rPr>
        <w:t>评价过程和方法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主要评价组织安排、文件评审情况、现场评估情况、检测评估报告编写情况。</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640" w:leftChars="0"/>
        <w:jc w:val="left"/>
        <w:textAlignment w:val="auto"/>
        <w:outlineLvl w:val="9"/>
        <w:rPr>
          <w:rFonts w:ascii="仿宋_GB2312" w:eastAsia="仿宋_GB2312"/>
          <w:b/>
          <w:sz w:val="32"/>
        </w:rPr>
      </w:pPr>
      <w:r>
        <w:rPr>
          <w:rFonts w:hint="eastAsia" w:ascii="仿宋_GB2312" w:eastAsia="仿宋_GB2312"/>
          <w:b/>
          <w:sz w:val="32"/>
          <w:lang w:eastAsia="zh-CN"/>
        </w:rPr>
        <w:t>三、</w:t>
      </w:r>
      <w:r>
        <w:rPr>
          <w:rFonts w:hint="eastAsia" w:ascii="仿宋_GB2312" w:eastAsia="仿宋_GB2312"/>
          <w:b/>
          <w:sz w:val="32"/>
        </w:rPr>
        <w:t>评价内容</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eastAsia="zh-CN"/>
        </w:rPr>
      </w:pPr>
      <w:r>
        <w:rPr>
          <w:rFonts w:hint="eastAsia" w:ascii="仿宋_GB2312" w:hAnsi="仿宋_GB2312" w:eastAsia="仿宋_GB2312" w:cs="仿宋_GB2312"/>
          <w:kern w:val="0"/>
          <w:sz w:val="32"/>
          <w:szCs w:val="22"/>
          <w:lang w:eastAsia="zh-CN"/>
        </w:rPr>
        <w:t>第三方应按以下内容对申报的数据中心材料进行评价：</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eastAsia="zh-CN"/>
        </w:rPr>
      </w:pPr>
      <w:r>
        <w:rPr>
          <w:rFonts w:hint="eastAsia" w:ascii="仿宋_GB2312" w:hAnsi="仿宋_GB2312" w:eastAsia="仿宋_GB2312" w:cs="仿宋_GB2312"/>
          <w:kern w:val="0"/>
          <w:sz w:val="32"/>
          <w:szCs w:val="22"/>
          <w:lang w:val="en-US" w:eastAsia="zh-CN"/>
        </w:rPr>
        <w:t>1.</w:t>
      </w:r>
      <w:r>
        <w:rPr>
          <w:rFonts w:hint="eastAsia" w:ascii="仿宋_GB2312" w:hAnsi="仿宋_GB2312" w:eastAsia="仿宋_GB2312" w:cs="仿宋_GB2312"/>
          <w:kern w:val="0"/>
          <w:sz w:val="32"/>
          <w:szCs w:val="22"/>
          <w:lang w:eastAsia="zh-CN"/>
        </w:rPr>
        <w:t>对申报的数据中心的基础设施、能源管理制度、节能措施、资源利用情况、电能使用效率等方面进行描述、并对数据中心申报报告中的相关内容进行核实；</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eastAsia="zh-CN"/>
        </w:rPr>
      </w:pPr>
      <w:r>
        <w:rPr>
          <w:rFonts w:hint="eastAsia" w:ascii="仿宋_GB2312" w:hAnsi="仿宋_GB2312" w:eastAsia="仿宋_GB2312" w:cs="仿宋_GB2312"/>
          <w:kern w:val="0"/>
          <w:sz w:val="32"/>
          <w:szCs w:val="22"/>
          <w:lang w:val="en-US" w:eastAsia="zh-CN"/>
        </w:rPr>
        <w:t>2.</w:t>
      </w:r>
      <w:r>
        <w:rPr>
          <w:rFonts w:hint="eastAsia" w:ascii="仿宋_GB2312" w:hAnsi="仿宋_GB2312" w:eastAsia="仿宋_GB2312" w:cs="仿宋_GB2312"/>
          <w:kern w:val="0"/>
          <w:sz w:val="32"/>
          <w:szCs w:val="22"/>
          <w:lang w:eastAsia="zh-CN"/>
        </w:rPr>
        <w:t>依据《北京市绿色数据中心评价规范》（试行），核实数据真实性、计算范围及计算方法，检查相关计量设备和有关标准的落实情况；</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eastAsia="zh-CN"/>
        </w:rPr>
      </w:pPr>
      <w:r>
        <w:rPr>
          <w:rFonts w:hint="eastAsia" w:ascii="仿宋_GB2312" w:hAnsi="仿宋_GB2312" w:eastAsia="仿宋_GB2312" w:cs="仿宋_GB2312"/>
          <w:kern w:val="0"/>
          <w:sz w:val="32"/>
          <w:szCs w:val="22"/>
          <w:lang w:val="en-US" w:eastAsia="zh-CN"/>
        </w:rPr>
        <w:t>3.</w:t>
      </w:r>
      <w:r>
        <w:rPr>
          <w:rFonts w:hint="eastAsia" w:ascii="仿宋_GB2312" w:hAnsi="仿宋_GB2312" w:eastAsia="仿宋_GB2312" w:cs="仿宋_GB2312"/>
          <w:kern w:val="0"/>
          <w:sz w:val="32"/>
          <w:szCs w:val="22"/>
          <w:lang w:eastAsia="zh-CN"/>
        </w:rPr>
        <w:t>对企业自评所出现的问题情况进行描述。</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640" w:leftChars="0"/>
        <w:jc w:val="left"/>
        <w:textAlignment w:val="auto"/>
        <w:outlineLvl w:val="9"/>
        <w:rPr>
          <w:rFonts w:ascii="仿宋_GB2312" w:eastAsia="仿宋_GB2312"/>
          <w:b/>
          <w:sz w:val="32"/>
        </w:rPr>
      </w:pPr>
      <w:r>
        <w:rPr>
          <w:rFonts w:hint="eastAsia" w:ascii="仿宋_GB2312" w:eastAsia="仿宋_GB2312"/>
          <w:b/>
          <w:sz w:val="32"/>
          <w:lang w:eastAsia="zh-CN"/>
        </w:rPr>
        <w:t>四、</w:t>
      </w:r>
      <w:r>
        <w:rPr>
          <w:rFonts w:hint="eastAsia" w:ascii="仿宋_GB2312" w:eastAsia="仿宋_GB2312"/>
          <w:b/>
          <w:sz w:val="32"/>
        </w:rPr>
        <w:t>评价结论</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对申报的数据中心是否符合北京市绿色数据中心要求评价，说明各评价指标值及是否符合评价要求情况，描述主要创建做法及工作亮点等。</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640" w:leftChars="0"/>
        <w:jc w:val="left"/>
        <w:textAlignment w:val="auto"/>
        <w:outlineLvl w:val="9"/>
        <w:rPr>
          <w:rFonts w:ascii="仿宋_GB2312" w:eastAsia="仿宋_GB2312"/>
          <w:b/>
          <w:sz w:val="32"/>
        </w:rPr>
      </w:pPr>
      <w:r>
        <w:rPr>
          <w:rFonts w:hint="eastAsia" w:ascii="仿宋_GB2312" w:eastAsia="仿宋_GB2312"/>
          <w:b/>
          <w:sz w:val="32"/>
          <w:lang w:eastAsia="zh-CN"/>
        </w:rPr>
        <w:t>五、</w:t>
      </w:r>
      <w:r>
        <w:rPr>
          <w:rFonts w:hint="eastAsia" w:ascii="仿宋_GB2312" w:eastAsia="仿宋_GB2312"/>
          <w:b/>
          <w:sz w:val="32"/>
        </w:rPr>
        <w:t>建议</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对被评测方持续开展绿色数据中心建设的下一步工作提出建议。</w:t>
      </w:r>
    </w:p>
    <w:p>
      <w:pPr>
        <w:keepNext w:val="0"/>
        <w:keepLines w:val="0"/>
        <w:pageBreakBefore w:val="0"/>
        <w:widowControl/>
        <w:numPr>
          <w:ilvl w:val="0"/>
          <w:numId w:val="0"/>
        </w:numPr>
        <w:kinsoku/>
        <w:wordWrap/>
        <w:overflowPunct/>
        <w:topLinePunct w:val="0"/>
        <w:autoSpaceDE/>
        <w:autoSpaceDN/>
        <w:bidi w:val="0"/>
        <w:adjustRightInd/>
        <w:snapToGrid/>
        <w:spacing w:line="480" w:lineRule="exact"/>
        <w:ind w:left="640" w:leftChars="0"/>
        <w:jc w:val="left"/>
        <w:textAlignment w:val="auto"/>
        <w:outlineLvl w:val="9"/>
        <w:rPr>
          <w:rFonts w:ascii="仿宋_GB2312" w:eastAsia="仿宋_GB2312"/>
          <w:b/>
          <w:sz w:val="32"/>
        </w:rPr>
      </w:pPr>
      <w:r>
        <w:rPr>
          <w:rFonts w:hint="eastAsia" w:ascii="仿宋_GB2312" w:eastAsia="仿宋_GB2312"/>
          <w:b/>
          <w:sz w:val="32"/>
          <w:lang w:eastAsia="zh-CN"/>
        </w:rPr>
        <w:t>六、</w:t>
      </w:r>
      <w:r>
        <w:rPr>
          <w:rFonts w:hint="eastAsia" w:ascii="仿宋_GB2312" w:eastAsia="仿宋_GB2312"/>
          <w:b/>
          <w:sz w:val="32"/>
        </w:rPr>
        <w:t>第三方机构资质符合性证明材料</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列出具备开展数据中心检测、评价等服务能力及人员资质、设备等相关证明。</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第三方机构应满足以下基本条件：</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1.在中华人民共和国境内注册并具有独立法人资格的企事业单位，且从事绿色数据中心检测业务满两年；信用良好，无不良行为记录；</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2.具备含通信设备、信息技术设备、电气、电线电缆、软件、节能与能效、机房、机柜、机箱等检测能力的CNAS资质以及CMA资质且在有效期内；</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pPr>
      <w:r>
        <w:rPr>
          <w:rFonts w:hint="eastAsia" w:ascii="仿宋_GB2312" w:hAnsi="仿宋_GB2312" w:eastAsia="仿宋_GB2312" w:cs="仿宋_GB2312"/>
          <w:kern w:val="0"/>
          <w:sz w:val="32"/>
          <w:szCs w:val="22"/>
          <w:lang w:val="en-US" w:eastAsia="zh-CN"/>
        </w:rPr>
        <w:t>3.具备专业测试工程师队伍，遵守国家法律法规和评价程序，熟悉绿色数据中心相关政策和标准规范；</w:t>
      </w:r>
    </w:p>
    <w:p>
      <w:pPr>
        <w:keepNext w:val="0"/>
        <w:keepLines w:val="0"/>
        <w:pageBreakBefore w:val="0"/>
        <w:widowControl/>
        <w:kinsoku/>
        <w:wordWrap/>
        <w:overflowPunct/>
        <w:topLinePunct w:val="0"/>
        <w:autoSpaceDE/>
        <w:autoSpaceDN/>
        <w:bidi w:val="0"/>
        <w:adjustRightInd/>
        <w:snapToGrid/>
        <w:spacing w:line="480" w:lineRule="exact"/>
        <w:ind w:firstLine="640" w:firstLineChars="200"/>
        <w:textAlignment w:val="auto"/>
        <w:outlineLvl w:val="9"/>
        <w:rPr>
          <w:rFonts w:hint="eastAsia" w:ascii="仿宋_GB2312" w:hAnsi="仿宋_GB2312" w:eastAsia="仿宋_GB2312" w:cs="仿宋_GB2312"/>
          <w:kern w:val="0"/>
          <w:sz w:val="32"/>
          <w:szCs w:val="22"/>
          <w:lang w:val="en-US" w:eastAsia="zh-CN"/>
        </w:rPr>
        <w:sectPr>
          <w:pgSz w:w="11906" w:h="16838"/>
          <w:pgMar w:top="2098" w:right="1588" w:bottom="2098" w:left="1588" w:header="851" w:footer="992" w:gutter="0"/>
          <w:pgNumType w:fmt="numberInDash"/>
          <w:cols w:space="720" w:num="1"/>
          <w:docGrid w:type="lines" w:linePitch="312" w:charSpace="0"/>
        </w:sectPr>
      </w:pPr>
      <w:r>
        <w:rPr>
          <w:rFonts w:hint="eastAsia" w:ascii="仿宋_GB2312" w:hAnsi="仿宋_GB2312" w:eastAsia="仿宋_GB2312" w:cs="仿宋_GB2312"/>
          <w:kern w:val="0"/>
          <w:sz w:val="32"/>
          <w:szCs w:val="22"/>
          <w:lang w:val="en-US" w:eastAsia="zh-CN"/>
        </w:rPr>
        <w:t>4.具备数据中心能效指标的相关测试仪器仪表，且所有仪表经国家相关计量检测中心定期检测计量。</w:t>
      </w:r>
    </w:p>
    <w:p>
      <w:pPr>
        <w:tabs>
          <w:tab w:val="center" w:pos="6663"/>
        </w:tabs>
        <w:jc w:val="center"/>
        <w:rPr>
          <w:rFonts w:ascii="仿宋_GB2312" w:eastAsia="仿宋_GB2312"/>
          <w:b/>
          <w:sz w:val="32"/>
        </w:rPr>
      </w:pPr>
      <w:r>
        <w:rPr>
          <w:rFonts w:hint="eastAsia" w:ascii="仿宋_GB2312" w:eastAsia="仿宋_GB2312"/>
          <w:b/>
          <w:sz w:val="32"/>
        </w:rPr>
        <w:t>绿色数据中心指标第三方评价表</w:t>
      </w:r>
    </w:p>
    <w:p>
      <w:pPr>
        <w:widowControl/>
        <w:jc w:val="left"/>
        <w:rPr>
          <w:rFonts w:eastAsia="仿宋_GB2312"/>
          <w:color w:val="000000"/>
          <w:kern w:val="0"/>
          <w:sz w:val="24"/>
          <w:szCs w:val="24"/>
        </w:rPr>
      </w:pPr>
    </w:p>
    <w:tbl>
      <w:tblPr>
        <w:tblStyle w:val="17"/>
        <w:tblW w:w="14292" w:type="dxa"/>
        <w:tblInd w:w="-459" w:type="dxa"/>
        <w:tblLayout w:type="fixed"/>
        <w:tblCellMar>
          <w:top w:w="0" w:type="dxa"/>
          <w:left w:w="108" w:type="dxa"/>
          <w:bottom w:w="0" w:type="dxa"/>
          <w:right w:w="108" w:type="dxa"/>
        </w:tblCellMar>
      </w:tblPr>
      <w:tblGrid>
        <w:gridCol w:w="532"/>
        <w:gridCol w:w="900"/>
        <w:gridCol w:w="1225"/>
        <w:gridCol w:w="1312"/>
        <w:gridCol w:w="1251"/>
        <w:gridCol w:w="6162"/>
        <w:gridCol w:w="1275"/>
        <w:gridCol w:w="1025"/>
        <w:gridCol w:w="610"/>
      </w:tblGrid>
      <w:tr>
        <w:tblPrEx>
          <w:tblLayout w:type="fixed"/>
          <w:tblCellMar>
            <w:top w:w="0" w:type="dxa"/>
            <w:left w:w="108" w:type="dxa"/>
            <w:bottom w:w="0" w:type="dxa"/>
            <w:right w:w="108" w:type="dxa"/>
          </w:tblCellMar>
        </w:tblPrEx>
        <w:trPr>
          <w:trHeight w:val="435" w:hRule="atLeast"/>
          <w:tblHeader/>
        </w:trPr>
        <w:tc>
          <w:tcPr>
            <w:tcW w:w="5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序号</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eastAsia="仿宋_GB2312"/>
                <w:b/>
                <w:color w:val="000000"/>
                <w:kern w:val="0"/>
                <w:sz w:val="24"/>
                <w:szCs w:val="24"/>
              </w:rPr>
            </w:pPr>
            <w:r>
              <w:rPr>
                <w:rFonts w:hint="eastAsia" w:eastAsia="仿宋_GB2312"/>
                <w:b/>
                <w:color w:val="000000"/>
                <w:kern w:val="0"/>
                <w:sz w:val="24"/>
                <w:szCs w:val="24"/>
              </w:rPr>
              <w:t>一级指标</w:t>
            </w:r>
          </w:p>
        </w:tc>
        <w:tc>
          <w:tcPr>
            <w:tcW w:w="12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二级指标</w:t>
            </w:r>
          </w:p>
        </w:tc>
        <w:tc>
          <w:tcPr>
            <w:tcW w:w="131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三级指标</w:t>
            </w:r>
          </w:p>
        </w:tc>
        <w:tc>
          <w:tcPr>
            <w:tcW w:w="12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四级指标</w:t>
            </w:r>
          </w:p>
        </w:tc>
        <w:tc>
          <w:tcPr>
            <w:tcW w:w="61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要求条款</w:t>
            </w:r>
          </w:p>
        </w:tc>
        <w:tc>
          <w:tcPr>
            <w:tcW w:w="127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符合性说明及证明材料索引</w:t>
            </w:r>
          </w:p>
        </w:tc>
        <w:tc>
          <w:tcPr>
            <w:tcW w:w="10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分值</w:t>
            </w:r>
          </w:p>
        </w:tc>
        <w:tc>
          <w:tcPr>
            <w:tcW w:w="6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b/>
                <w:color w:val="000000"/>
                <w:kern w:val="0"/>
                <w:sz w:val="24"/>
                <w:szCs w:val="24"/>
              </w:rPr>
            </w:pPr>
            <w:r>
              <w:rPr>
                <w:rFonts w:hint="eastAsia" w:eastAsia="仿宋_GB2312"/>
                <w:b/>
                <w:color w:val="000000"/>
                <w:kern w:val="0"/>
                <w:sz w:val="24"/>
                <w:szCs w:val="24"/>
              </w:rPr>
              <w:t>得分</w:t>
            </w:r>
          </w:p>
        </w:tc>
      </w:tr>
      <w:tr>
        <w:tblPrEx>
          <w:tblLayout w:type="fixed"/>
          <w:tblCellMar>
            <w:top w:w="0" w:type="dxa"/>
            <w:left w:w="108" w:type="dxa"/>
            <w:bottom w:w="0" w:type="dxa"/>
            <w:right w:w="108" w:type="dxa"/>
          </w:tblCellMar>
        </w:tblPrEx>
        <w:trPr>
          <w:trHeight w:val="225"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900"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eastAsia="仿宋_GB2312"/>
                <w:color w:val="000000"/>
                <w:kern w:val="0"/>
                <w:sz w:val="24"/>
                <w:szCs w:val="24"/>
              </w:rPr>
            </w:pPr>
            <w:r>
              <w:rPr>
                <w:rFonts w:hint="eastAsia" w:eastAsia="仿宋_GB2312"/>
                <w:color w:val="000000"/>
                <w:kern w:val="0"/>
                <w:sz w:val="24"/>
                <w:szCs w:val="24"/>
              </w:rPr>
              <w:t>最小化资源消耗</w:t>
            </w: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电能管理</w:t>
            </w:r>
          </w:p>
        </w:tc>
        <w:tc>
          <w:tcPr>
            <w:tcW w:w="131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能源管理制度</w:t>
            </w: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能源统计和分析注</w:t>
            </w:r>
            <w:r>
              <w:rPr>
                <w:rFonts w:hint="eastAsia" w:eastAsia="仿宋_GB2312"/>
                <w:color w:val="000000"/>
                <w:kern w:val="0"/>
                <w:sz w:val="24"/>
                <w:szCs w:val="24"/>
                <w:vertAlign w:val="superscript"/>
              </w:rPr>
              <w:t>1</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电能使用分项计量，满足GB/T 32910.3-2016要求。</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有能源消费使用统计制度及实施方案。</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有专人负责能源消费统计。</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定期进行统计，报表质量好。</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按月进行能耗数据分析，形成分析记录。</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有季度或者年度能耗分析报告。</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分析报告中提出了现存问题和有效改进措施。</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定期公示能耗情况。</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运行管理</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有明确的重点用设备和系统清单。</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对清单中的设备系统的运行及能耗状况实现了在线监控。</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设备系统的维护保养记录完整。</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设备系统的巡视检查记录完整</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有关键系统的调优运行措施和调整记录</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有用能用水各系统的完整图纸，有图纸随着改造、变更进行了及时更新的证据。</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有完整的用能设备设施台账，台账信息至少包括数量（如有备用，备用数量应标清）、型号、厂家、功率、安装时间等。</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设备更新、报废、转备用等变更时，及时更新设备台账。</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实行了节能工作目标责任制</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有明确的节能策略</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建立了节能领导小组，有明确的负责节能工作的人员名单。</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宣传和培训</w:t>
            </w:r>
          </w:p>
        </w:tc>
        <w:tc>
          <w:tcPr>
            <w:tcW w:w="616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定期对各类人员进行节能岗位技能培训，有培训记录档案。</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培训内容至少包括节能理念、对应岗位需要的节能技术等。</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c>
          <w:tcPr>
            <w:tcW w:w="610"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定期宣传节能理念，包括海报、标语、日历等，不拘形式。</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电能使用效率</w:t>
            </w: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电能使用效率</w:t>
            </w:r>
          </w:p>
        </w:tc>
        <w:tc>
          <w:tcPr>
            <w:tcW w:w="61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hint="eastAsia" w:eastAsia="仿宋_GB2312"/>
                <w:color w:val="000000"/>
                <w:kern w:val="0"/>
                <w:sz w:val="24"/>
                <w:szCs w:val="24"/>
              </w:rPr>
            </w:pPr>
            <w:r>
              <w:rPr>
                <w:rFonts w:hint="eastAsia" w:eastAsia="仿宋_GB2312"/>
                <w:color w:val="000000"/>
                <w:kern w:val="0"/>
                <w:sz w:val="24"/>
                <w:szCs w:val="24"/>
              </w:rPr>
              <w:t>按照本标准</w:t>
            </w:r>
            <w:r>
              <w:rPr>
                <w:rFonts w:hint="eastAsia" w:eastAsia="仿宋_GB2312"/>
                <w:color w:val="000000"/>
                <w:kern w:val="0"/>
                <w:sz w:val="24"/>
                <w:szCs w:val="24"/>
                <w:lang w:val="en-US" w:eastAsia="zh-CN"/>
              </w:rPr>
              <w:t>6</w:t>
            </w:r>
            <w:r>
              <w:rPr>
                <w:rFonts w:hint="eastAsia" w:eastAsia="仿宋_GB2312"/>
                <w:color w:val="000000"/>
                <w:kern w:val="0"/>
                <w:sz w:val="24"/>
                <w:szCs w:val="24"/>
              </w:rPr>
              <w:t>.1.</w:t>
            </w:r>
            <w:r>
              <w:rPr>
                <w:rFonts w:hint="eastAsia" w:eastAsia="仿宋_GB2312"/>
                <w:color w:val="000000"/>
                <w:kern w:val="0"/>
                <w:sz w:val="24"/>
                <w:szCs w:val="24"/>
                <w:lang w:val="en-US" w:eastAsia="zh-CN"/>
              </w:rPr>
              <w:t>3</w:t>
            </w:r>
            <w:r>
              <w:rPr>
                <w:rFonts w:hint="eastAsia" w:eastAsia="仿宋_GB2312"/>
                <w:color w:val="000000"/>
                <w:kern w:val="0"/>
                <w:sz w:val="24"/>
                <w:szCs w:val="24"/>
              </w:rPr>
              <w:t>的要求计算EEUE修正值。</w:t>
            </w:r>
            <w:r>
              <w:rPr>
                <w:rFonts w:hint="eastAsia" w:eastAsia="仿宋_GB2312"/>
                <w:color w:val="000000"/>
                <w:kern w:val="0"/>
                <w:sz w:val="24"/>
                <w:szCs w:val="24"/>
              </w:rPr>
              <w:br w:type="textWrapping"/>
            </w:r>
            <w:r>
              <w:rPr>
                <w:rFonts w:hint="eastAsia" w:eastAsia="仿宋_GB2312"/>
                <w:color w:val="000000"/>
                <w:kern w:val="0"/>
                <w:sz w:val="24"/>
                <w:szCs w:val="24"/>
              </w:rPr>
              <w:t>本项得分值按照如下公式计算得出：</w:t>
            </w:r>
            <w:r>
              <w:rPr>
                <w:rFonts w:hint="eastAsia" w:eastAsia="仿宋_GB2312"/>
                <w:color w:val="000000"/>
                <w:kern w:val="0"/>
                <w:sz w:val="24"/>
                <w:szCs w:val="24"/>
              </w:rPr>
              <w:br w:type="textWrapping"/>
            </w:r>
            <w:r>
              <w:rPr>
                <w:rFonts w:hint="eastAsia" w:eastAsia="仿宋_GB2312"/>
                <w:color w:val="000000"/>
                <w:kern w:val="0"/>
                <w:sz w:val="24"/>
                <w:szCs w:val="24"/>
                <w:lang w:val="en-US" w:eastAsia="zh-CN"/>
              </w:rPr>
              <w:t>30</w:t>
            </w:r>
            <w:r>
              <w:rPr>
                <w:rFonts w:hint="eastAsia" w:eastAsia="仿宋_GB2312"/>
                <w:color w:val="000000"/>
                <w:kern w:val="0"/>
                <w:sz w:val="24"/>
                <w:szCs w:val="24"/>
              </w:rPr>
              <w:t>-</w:t>
            </w:r>
            <w:r>
              <w:rPr>
                <w:rFonts w:hint="eastAsia" w:eastAsia="仿宋_GB2312"/>
                <w:color w:val="000000"/>
                <w:kern w:val="0"/>
                <w:sz w:val="24"/>
                <w:szCs w:val="24"/>
                <w:lang w:val="en-US" w:eastAsia="zh-CN"/>
              </w:rPr>
              <w:t>7.5</w:t>
            </w:r>
            <w:r>
              <w:rPr>
                <w:rFonts w:hint="eastAsia" w:eastAsia="仿宋_GB2312"/>
                <w:color w:val="000000"/>
                <w:kern w:val="0"/>
                <w:sz w:val="24"/>
                <w:szCs w:val="24"/>
              </w:rPr>
              <w:t>×（EEUE修正值-1）²</w:t>
            </w:r>
            <w:r>
              <w:rPr>
                <w:rFonts w:hint="eastAsia" w:eastAsia="仿宋_GB2312"/>
                <w:color w:val="000000"/>
                <w:kern w:val="0"/>
                <w:sz w:val="24"/>
                <w:szCs w:val="24"/>
              </w:rPr>
              <w:br w:type="textWrapping"/>
            </w:r>
            <w:r>
              <w:rPr>
                <w:rFonts w:hint="eastAsia" w:eastAsia="仿宋_GB2312"/>
                <w:color w:val="000000"/>
                <w:kern w:val="0"/>
                <w:sz w:val="24"/>
                <w:szCs w:val="24"/>
              </w:rPr>
              <w:t>EEUE修正值&gt;3或者计算不符合本标准</w:t>
            </w:r>
            <w:r>
              <w:rPr>
                <w:rFonts w:hint="eastAsia" w:eastAsia="仿宋_GB2312"/>
                <w:color w:val="000000"/>
                <w:kern w:val="0"/>
                <w:sz w:val="24"/>
                <w:szCs w:val="24"/>
                <w:lang w:val="en-US" w:eastAsia="zh-CN"/>
              </w:rPr>
              <w:t>6</w:t>
            </w:r>
            <w:r>
              <w:rPr>
                <w:rFonts w:hint="eastAsia" w:eastAsia="仿宋_GB2312"/>
                <w:color w:val="000000"/>
                <w:kern w:val="0"/>
                <w:sz w:val="24"/>
                <w:szCs w:val="24"/>
              </w:rPr>
              <w:t>.1.</w:t>
            </w:r>
            <w:r>
              <w:rPr>
                <w:rFonts w:hint="eastAsia" w:eastAsia="仿宋_GB2312"/>
                <w:color w:val="000000"/>
                <w:kern w:val="0"/>
                <w:sz w:val="24"/>
                <w:szCs w:val="24"/>
                <w:lang w:val="en-US" w:eastAsia="zh-CN"/>
              </w:rPr>
              <w:t>3</w:t>
            </w:r>
            <w:r>
              <w:rPr>
                <w:rFonts w:hint="eastAsia" w:eastAsia="仿宋_GB2312"/>
                <w:color w:val="000000"/>
                <w:kern w:val="0"/>
                <w:sz w:val="24"/>
                <w:szCs w:val="24"/>
              </w:rPr>
              <w:t>的要求的，本项不得分。</w:t>
            </w:r>
          </w:p>
          <w:p>
            <w:pPr>
              <w:widowControl/>
              <w:jc w:val="left"/>
              <w:rPr>
                <w:rFonts w:hint="eastAsia" w:eastAsia="仿宋_GB2312"/>
                <w:color w:val="000000"/>
                <w:kern w:val="0"/>
                <w:sz w:val="24"/>
                <w:szCs w:val="24"/>
              </w:rPr>
            </w:pPr>
            <w:r>
              <w:rPr>
                <w:rFonts w:hint="eastAsia" w:ascii="黑体" w:hAnsi="黑体" w:eastAsia="黑体"/>
                <w:kern w:val="2"/>
                <w:szCs w:val="21"/>
              </w:rPr>
              <w:t>注：数据中心采用PUE时，分值计算为30-7.5×（PUE年度-1）</w:t>
            </w:r>
            <w:r>
              <w:rPr>
                <w:rFonts w:hint="eastAsia" w:hAnsi="宋体" w:cs="宋体"/>
                <w:kern w:val="2"/>
                <w:szCs w:val="21"/>
              </w:rPr>
              <w:t>²</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30</w:t>
            </w:r>
          </w:p>
        </w:tc>
        <w:tc>
          <w:tcPr>
            <w:tcW w:w="61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12"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9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11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节能措施</w:t>
            </w: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机房环境系统节能</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空调冷源系统具备利用自然冷源或可再生能源、外部废热余热等进行供冷的技术；选用高效冷源和输送设备，根据负荷进行变频调速控制；提升冷冻水温度，加大供回水温差；提高送风温度，加大送回风温差；采用技术经济合理的数据中心内部余热回收技术，提高能源的综合利用率；</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空调末端系统靠近热源，近端制冷（如：背板、前板、列间、顶置空调、机架式等）；机房空调变风量运行；采用高效除湿方式；</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IT设备采用冷热通道方式布局</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机架安装盲板，不存在热短路</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采用通道封闭技术</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供配电系统节能</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选用低损耗变压器（如非晶合金变压器、SCB11以上等）；功率因数不低于0.9；进行谐波整治；采用高效不间断电源设备；行业允许情况下采用一路市电一路不间断电源/高压直流联合供电方式；设备调优运行。</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变配电系统架构扁平化；供配电设备深入负荷中心安装；选用高压油机、高压冷机等高电压等级设备降低电流运行值；采用高压直流技术。</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信息系统节能</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对组织自用信息系统具备提高IT设备的应用效率，减少信息设备的投入量的措施，引入虚拟化技术、动态侦测动态存储，对计算设备、存储设备、网络设备进行资源池化，按需分配；</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在选择服务器时，引入液冷服务器,整机柜服务器及其他符合标准的高能效服务器；</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left w:val="nil"/>
              <w:right w:val="single" w:color="auto" w:sz="4" w:space="0"/>
            </w:tcBorders>
            <w:shd w:val="clear" w:color="auto" w:fill="auto"/>
            <w:vAlign w:val="center"/>
          </w:tcPr>
          <w:p>
            <w:pPr>
              <w:jc w:val="center"/>
              <w:rPr>
                <w:rFonts w:eastAsia="仿宋_GB2312"/>
                <w:color w:val="000000"/>
                <w:kern w:val="0"/>
                <w:sz w:val="24"/>
                <w:szCs w:val="24"/>
              </w:rPr>
            </w:pPr>
          </w:p>
        </w:tc>
        <w:tc>
          <w:tcPr>
            <w:tcW w:w="610" w:type="dxa"/>
            <w:vMerge w:val="continue"/>
            <w:tcBorders>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在选择存储设备时，充分考虑到数据的冷热级别，按数据冷热程度分级存储，引入低功耗光存储技术与光磁电融和存储系统，作到细分存储。</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left w:val="nil"/>
              <w:right w:val="single" w:color="auto" w:sz="4" w:space="0"/>
            </w:tcBorders>
            <w:shd w:val="clear" w:color="auto" w:fill="auto"/>
            <w:vAlign w:val="center"/>
          </w:tcPr>
          <w:p>
            <w:pPr>
              <w:jc w:val="center"/>
              <w:rPr>
                <w:rFonts w:eastAsia="仿宋_GB2312"/>
                <w:color w:val="000000"/>
                <w:kern w:val="0"/>
                <w:sz w:val="24"/>
                <w:szCs w:val="24"/>
              </w:rPr>
            </w:pPr>
          </w:p>
        </w:tc>
        <w:tc>
          <w:tcPr>
            <w:tcW w:w="610" w:type="dxa"/>
            <w:vMerge w:val="continue"/>
            <w:tcBorders>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对由内部相关方（如独立的IT部门）或外部相关方（如客户、运营商）控制的信息系统，应对该相关方的信息系统满足本项要求施加影响，具有鼓励用户使用节能型IT设备的措施。</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c>
          <w:tcPr>
            <w:tcW w:w="610"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照明系统节能</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使用光效不小于80lm/W的节能型光源作为主要光源</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应能对机房内灯具的开关进行方便、灵活的控制，控制方式可采用照明控制或墙壁开关控制，照明应分场景、分区域控制。</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围护系统节能</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数据中心机房的规划布置和设计，可充分利用冬季日照和夏季自然通风，并避开冬季主导风向；其主要朝向宜选择本地区最佳朝向，避开夏季最大日照朝向；数据中心为一栋整体建筑时，IT设备机房宜设置在机房内侧，辅助区域设置在外侧。</w:t>
            </w:r>
          </w:p>
        </w:tc>
        <w:tc>
          <w:tcPr>
            <w:tcW w:w="1275"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外保温:采用符合GB50189相关规定。当主机房与外围护结构相邻时，对应部分的外围护结构的热工性能应根据全年动态能耗分析情况确定最优值。</w:t>
            </w:r>
          </w:p>
        </w:tc>
        <w:tc>
          <w:tcPr>
            <w:tcW w:w="1275"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主机房不设外窗，必要时可采用双层窗、中空玻璃窗等高效节能门窗。外窗应具有较好的防尘、防水、防火、抗风、隔热的性能，且满足洁净度要求。机房门宜选用具有保温性能的防火门，并宜安装闭门器，门长闭。</w:t>
            </w:r>
          </w:p>
        </w:tc>
        <w:tc>
          <w:tcPr>
            <w:tcW w:w="1275"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0.25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312"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51"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电能管理持续改进</w:t>
            </w:r>
          </w:p>
        </w:tc>
        <w:tc>
          <w:tcPr>
            <w:tcW w:w="6162"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定期(至少每年1次)对能源管理制度及所采取的节能措施的效果进行回顾，识别改进机会，制定改进措施、修订有关制度，确保电能管理目标实现。</w:t>
            </w:r>
          </w:p>
        </w:tc>
        <w:tc>
          <w:tcPr>
            <w:tcW w:w="1275" w:type="dxa"/>
            <w:tcBorders>
              <w:top w:val="nil"/>
              <w:left w:val="nil"/>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20"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2</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水资源使用</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节水制度</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有水资源利用规划方案、节水制度和节水目标</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节水措施</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冷却水补水、加湿系统等部分使用非传统水源。</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采用符合《节水型产品技术条件与管理通则》GB/T18870要求的节水器具.</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对用水设备输水设施进行日常维护和定期巡查，损坏管件及时更换，防止破管、渗水、漏水。</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水资源分项计量</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按使用用途，对空调系统、卫生间、景观及绿化、非传统水源等用水分别设置用水计量装置，统计用水量。</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3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节水目标</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节水目标实现</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定期(至少每年1次)对节水目标进行评估、回顾节水制度及节水措施的效果，识别改进机会，制定改进措施、修订有关制度，确保水资源管理目标符合有关要求和本组织需要，并能够实现。</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3</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其他资源使用</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资源种类识别</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识别本组织使用的其他资源的种类，确定需要采取节约措施或者优化使用效率措施的资源种类</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节约/优化效率措施</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针对识别出的备用能源等其他资源，制定节约措施或优化运行组织措施，确保这些能源能够有效利用。</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4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回顾这些措施的效果，识别改进机会，并采取改进措施。</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4</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资源循环利用</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废弃电器电子产品处理</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组织应制定利旧方案，对废旧设备设施进行充分利用，对无法自己利用的，与具有资质的回收处理企业签署回收处理协议。</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资源再利用</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组织对可再利用材料、可再循环材料、余热等具有回收再利用的应用场景，制定并采取再利用措施方案。</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1077" w:hRule="atLeast"/>
        </w:trPr>
        <w:tc>
          <w:tcPr>
            <w:tcW w:w="5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5</w:t>
            </w:r>
          </w:p>
        </w:tc>
        <w:tc>
          <w:tcPr>
            <w:tcW w:w="900" w:type="dxa"/>
            <w:vMerge w:val="restart"/>
            <w:tcBorders>
              <w:top w:val="nil"/>
              <w:left w:val="single" w:color="auto" w:sz="4" w:space="0"/>
              <w:bottom w:val="single" w:color="auto" w:sz="4" w:space="0"/>
              <w:right w:val="single" w:color="auto" w:sz="4" w:space="0"/>
            </w:tcBorders>
            <w:shd w:val="clear" w:color="auto" w:fill="auto"/>
            <w:textDirection w:val="tbRlV"/>
            <w:vAlign w:val="center"/>
          </w:tcPr>
          <w:p>
            <w:pPr>
              <w:widowControl/>
              <w:jc w:val="center"/>
              <w:rPr>
                <w:rFonts w:eastAsia="仿宋_GB2312"/>
                <w:color w:val="000000"/>
                <w:kern w:val="0"/>
                <w:sz w:val="24"/>
                <w:szCs w:val="24"/>
              </w:rPr>
            </w:pPr>
            <w:r>
              <w:rPr>
                <w:rFonts w:hint="eastAsia" w:eastAsia="仿宋_GB2312"/>
                <w:color w:val="000000"/>
                <w:kern w:val="0"/>
                <w:sz w:val="24"/>
                <w:szCs w:val="24"/>
              </w:rPr>
              <w:t>最小化环境影响</w:t>
            </w:r>
          </w:p>
        </w:tc>
        <w:tc>
          <w:tcPr>
            <w:tcW w:w="122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清洁能源与可再生能源利用</w:t>
            </w:r>
          </w:p>
        </w:tc>
        <w:tc>
          <w:tcPr>
            <w:tcW w:w="25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清洁能源与可再生能源利用</w:t>
            </w:r>
          </w:p>
        </w:tc>
        <w:tc>
          <w:tcPr>
            <w:tcW w:w="616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组织应对太阳能、风能、水能等进行利用。</w:t>
            </w:r>
            <w:r>
              <w:rPr>
                <w:rFonts w:hint="eastAsia" w:eastAsia="仿宋_GB2312"/>
                <w:color w:val="000000"/>
                <w:kern w:val="0"/>
                <w:sz w:val="24"/>
                <w:szCs w:val="24"/>
              </w:rPr>
              <w:br w:type="textWrapping"/>
            </w:r>
            <w:r>
              <w:rPr>
                <w:rFonts w:hint="eastAsia" w:eastAsia="仿宋_GB2312"/>
                <w:color w:val="000000"/>
                <w:kern w:val="0"/>
                <w:sz w:val="24"/>
                <w:szCs w:val="24"/>
              </w:rPr>
              <w:t>无法证明公共电网中部分使用的此类能源是专供本组织使用的情形不作为本项得分依据。</w:t>
            </w:r>
          </w:p>
        </w:tc>
        <w:tc>
          <w:tcPr>
            <w:tcW w:w="1275" w:type="dxa"/>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3</w:t>
            </w:r>
          </w:p>
        </w:tc>
        <w:tc>
          <w:tcPr>
            <w:tcW w:w="610" w:type="dxa"/>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30" w:hRule="atLeast"/>
        </w:trPr>
        <w:tc>
          <w:tcPr>
            <w:tcW w:w="5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6</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有害物质控制</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电子电气产品中限用物质的限量要求</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将有害物质控制要求纳入采购要求，优先采购符合《电器电子产品有害物质限制使用管理办法》规定或符合</w:t>
            </w:r>
            <w:r>
              <w:rPr>
                <w:rFonts w:eastAsia="仿宋_GB2312"/>
                <w:color w:val="000000"/>
                <w:kern w:val="0"/>
                <w:sz w:val="24"/>
                <w:szCs w:val="24"/>
              </w:rPr>
              <w:t>GB/T 26572</w:t>
            </w:r>
            <w:r>
              <w:rPr>
                <w:rFonts w:hint="eastAsia" w:eastAsia="仿宋_GB2312"/>
                <w:color w:val="000000"/>
                <w:kern w:val="0"/>
                <w:sz w:val="24"/>
                <w:szCs w:val="24"/>
              </w:rPr>
              <w:t>的产品；对其他相关方施加影响，要求其部署到本数据中心的设备为符合《电器电子产品有害物质限制使用管理办法》规定或符合</w:t>
            </w:r>
            <w:r>
              <w:rPr>
                <w:rFonts w:eastAsia="仿宋_GB2312"/>
                <w:color w:val="000000"/>
                <w:kern w:val="0"/>
                <w:sz w:val="24"/>
                <w:szCs w:val="24"/>
              </w:rPr>
              <w:t>GB/T 26572</w:t>
            </w:r>
            <w:r>
              <w:rPr>
                <w:rFonts w:hint="eastAsia" w:eastAsia="仿宋_GB2312"/>
                <w:color w:val="000000"/>
                <w:kern w:val="0"/>
                <w:sz w:val="24"/>
                <w:szCs w:val="24"/>
              </w:rPr>
              <w:t>的产品。</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trPr>
        <w:tc>
          <w:tcPr>
            <w:tcW w:w="5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7</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危险废物处置</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危险废物处置</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组织应识别本数据中心产生的危险废物（包括但不限于废旧电池等），委托具有危险废物回收处置资质的组织进行回收处理，确保危险废物的处置符合属地政府部门的要求。进行跨省转运的，应符合双方及途径地区属地政府部门的要求。</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65"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8</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环境影响管理注</w:t>
            </w:r>
            <w:r>
              <w:rPr>
                <w:rFonts w:hint="eastAsia" w:eastAsia="仿宋_GB2312"/>
                <w:color w:val="000000"/>
                <w:kern w:val="0"/>
                <w:sz w:val="24"/>
                <w:szCs w:val="24"/>
                <w:vertAlign w:val="superscript"/>
              </w:rPr>
              <w:t>2</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行政处罚</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最近3年，组织出现因违反环境保护法律法规要求被行政处罚的记录。（可通过采信组织自声明并结合诚信惩戒的方式验证）</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否决项</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环境影响因素识别</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组织应定期（至少一年一次）进行环境影响因素识别</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8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环境影响事件处理</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近2年未出现环境影响事件和投诉（满分）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2</w:t>
            </w:r>
          </w:p>
        </w:tc>
        <w:tc>
          <w:tcPr>
            <w:tcW w:w="610"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出现环境影响事件和投诉，已妥善解决，并形成纠正和预防措施，获得相对人谅解（50%得分）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left w:val="nil"/>
              <w:right w:val="single" w:color="auto" w:sz="4" w:space="0"/>
            </w:tcBorders>
            <w:shd w:val="clear" w:color="auto" w:fill="auto"/>
            <w:vAlign w:val="center"/>
          </w:tcPr>
          <w:p>
            <w:pPr>
              <w:widowControl/>
              <w:jc w:val="center"/>
              <w:rPr>
                <w:rFonts w:eastAsia="仿宋_GB2312"/>
                <w:color w:val="000000"/>
                <w:kern w:val="0"/>
                <w:sz w:val="24"/>
                <w:szCs w:val="24"/>
              </w:rPr>
            </w:pPr>
          </w:p>
        </w:tc>
        <w:tc>
          <w:tcPr>
            <w:tcW w:w="610" w:type="dxa"/>
            <w:vMerge w:val="continue"/>
            <w:tcBorders>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有尚未办结的环境影响事件和投诉（0分）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c>
          <w:tcPr>
            <w:tcW w:w="610"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环境影响控制措施</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组织应对识别出的环境影响因素进行评估，并制定和采取控制措施。</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组织应定期回顾环境影响管理的效果，识别改进机会，采取改进措施。</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65"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9</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职业健康管理注</w:t>
            </w:r>
            <w:r>
              <w:rPr>
                <w:rFonts w:hint="eastAsia" w:eastAsia="仿宋_GB2312"/>
                <w:color w:val="000000"/>
                <w:kern w:val="0"/>
                <w:sz w:val="24"/>
                <w:szCs w:val="24"/>
                <w:vertAlign w:val="superscript"/>
              </w:rPr>
              <w:t>3</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工伤事故</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最近3年出现达到致残等级以上的工伤事故的。</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否决项</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危险源</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定期（至少一年一次）识别本数据中心的危险源并结合已经采取的控制措施进行评估</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2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控制措施</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针对危险源，制定预防和控制措施，并落实。</w:t>
            </w:r>
          </w:p>
        </w:tc>
        <w:tc>
          <w:tcPr>
            <w:tcW w:w="1275" w:type="dxa"/>
            <w:vMerge w:val="restart"/>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3</w:t>
            </w:r>
          </w:p>
          <w:p>
            <w:pPr>
              <w:jc w:val="center"/>
              <w:rPr>
                <w:rFonts w:eastAsia="仿宋_GB2312"/>
                <w:color w:val="000000"/>
                <w:kern w:val="0"/>
                <w:sz w:val="24"/>
                <w:szCs w:val="24"/>
              </w:rPr>
            </w:pPr>
          </w:p>
        </w:tc>
        <w:tc>
          <w:tcPr>
            <w:tcW w:w="610"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控制措施可包括于人身安全管控措施、职业健康管控措施、物理环境管控措施等</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025"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c>
          <w:tcPr>
            <w:tcW w:w="610"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6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持续改进</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组织应定期回顾职业健康管理的效果，识别改进机会，采取改进措施。</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1872" w:hRule="atLeast"/>
        </w:trPr>
        <w:tc>
          <w:tcPr>
            <w:tcW w:w="5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10</w:t>
            </w:r>
          </w:p>
        </w:tc>
        <w:tc>
          <w:tcPr>
            <w:tcW w:w="9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业务能力目标</w:t>
            </w:r>
          </w:p>
        </w:tc>
        <w:tc>
          <w:tcPr>
            <w:tcW w:w="122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业务连续性要求</w:t>
            </w:r>
          </w:p>
        </w:tc>
        <w:tc>
          <w:tcPr>
            <w:tcW w:w="25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业务连续性要求</w:t>
            </w:r>
          </w:p>
        </w:tc>
        <w:tc>
          <w:tcPr>
            <w:tcW w:w="6162"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eastAsia="仿宋_GB2312"/>
                <w:color w:val="000000"/>
                <w:kern w:val="0"/>
                <w:sz w:val="24"/>
                <w:szCs w:val="24"/>
              </w:rPr>
            </w:pPr>
            <w:r>
              <w:rPr>
                <w:rFonts w:hint="eastAsia" w:eastAsia="仿宋_GB2312"/>
                <w:color w:val="000000"/>
                <w:kern w:val="0"/>
                <w:sz w:val="24"/>
                <w:szCs w:val="24"/>
              </w:rPr>
              <w:t>最近2年发生过不能正常提供数据中心服务的严重事件或事态，符合下述情况之一的：1.长时间业务中断，中断时间超出设计目标或者SLA规定的。2.已出现上述事态，数据中心自身无法解决，依靠政府或公共部门干预解决的。3. 已出现上述事态，数据中心自身无法解决，依靠政府或公共部门干预解决的。</w:t>
            </w:r>
          </w:p>
        </w:tc>
        <w:tc>
          <w:tcPr>
            <w:tcW w:w="1275" w:type="dxa"/>
            <w:tcBorders>
              <w:top w:val="nil"/>
              <w:left w:val="single" w:color="auto" w:sz="4" w:space="0"/>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否决项</w:t>
            </w:r>
          </w:p>
          <w:p>
            <w:pPr>
              <w:jc w:val="center"/>
              <w:rPr>
                <w:rFonts w:eastAsia="仿宋_GB2312"/>
                <w:color w:val="000000"/>
                <w:kern w:val="0"/>
                <w:sz w:val="24"/>
                <w:szCs w:val="24"/>
              </w:rPr>
            </w:pPr>
          </w:p>
        </w:tc>
        <w:tc>
          <w:tcPr>
            <w:tcW w:w="6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45" w:hRule="atLeast"/>
        </w:trPr>
        <w:tc>
          <w:tcPr>
            <w:tcW w:w="5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11</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电力供应能力</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电力供应能力</w:t>
            </w:r>
          </w:p>
        </w:tc>
        <w:tc>
          <w:tcPr>
            <w:tcW w:w="616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outlineLvl w:val="9"/>
              <w:rPr>
                <w:rFonts w:eastAsia="仿宋_GB2312"/>
                <w:color w:val="000000"/>
                <w:kern w:val="0"/>
                <w:sz w:val="24"/>
                <w:szCs w:val="24"/>
              </w:rPr>
            </w:pPr>
            <w:r>
              <w:rPr>
                <w:rFonts w:hint="eastAsia" w:eastAsia="仿宋_GB2312"/>
                <w:color w:val="000000"/>
                <w:kern w:val="0"/>
                <w:sz w:val="24"/>
                <w:szCs w:val="24"/>
              </w:rPr>
              <w:t>变压器输出、UPS输出、空调配电柜输出、列头柜输出、机柜输出电能质量满足国家标准GB/T 2887‐2011的相关要求。</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5</w:t>
            </w:r>
          </w:p>
        </w:tc>
        <w:tc>
          <w:tcPr>
            <w:tcW w:w="61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900" w:hRule="atLeast"/>
        </w:trPr>
        <w:tc>
          <w:tcPr>
            <w:tcW w:w="5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12</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IT设备运行环境</w:t>
            </w:r>
          </w:p>
        </w:tc>
        <w:tc>
          <w:tcPr>
            <w:tcW w:w="256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IT设备运行环境</w:t>
            </w:r>
          </w:p>
        </w:tc>
        <w:tc>
          <w:tcPr>
            <w:tcW w:w="6162"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eastAsia="仿宋_GB2312"/>
                <w:color w:val="000000"/>
                <w:kern w:val="0"/>
                <w:sz w:val="24"/>
                <w:szCs w:val="24"/>
              </w:rPr>
            </w:pPr>
            <w:r>
              <w:rPr>
                <w:rFonts w:hint="eastAsia" w:eastAsia="仿宋_GB2312"/>
                <w:color w:val="000000"/>
                <w:kern w:val="0"/>
                <w:sz w:val="24"/>
                <w:szCs w:val="24"/>
              </w:rPr>
              <w:t>正压、风速、温度、湿度、照度、空气洁净度、噪声、电磁干扰等指标满足国家标准GB/T 2887‐2011的相关要求。对机房或冷通道内部的温度、湿度等环境指标在高度上进行多层次分层监测，并按照统一格式形成数据报表，具备统一上报功能。</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13</w:t>
            </w:r>
          </w:p>
        </w:tc>
        <w:tc>
          <w:tcPr>
            <w:tcW w:w="9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相关方管理与影响</w:t>
            </w: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供方管理</w:t>
            </w:r>
          </w:p>
        </w:tc>
        <w:tc>
          <w:tcPr>
            <w:tcW w:w="256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供方管理</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对供方采取了必要的管理措施，包括合同约束、履约保证、到货验收、测试验证、服务评价等。</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2</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38"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有不合格供方退出机制</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675"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14</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客户及其他相关方</w:t>
            </w:r>
          </w:p>
        </w:tc>
        <w:tc>
          <w:tcPr>
            <w:tcW w:w="256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客户及其他相关方</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对内部相关方（如独立的IT部门等）或外部相关方（客户及其合作伙伴、运营商等）部署到本数据中心的设施系统及其在本数据中心的活动满足本标准要求施加影响。</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2</w:t>
            </w:r>
          </w:p>
          <w:p>
            <w:pPr>
              <w:jc w:val="center"/>
              <w:rPr>
                <w:rFonts w:eastAsia="仿宋_GB2312"/>
                <w:color w:val="000000"/>
                <w:kern w:val="0"/>
                <w:sz w:val="24"/>
                <w:szCs w:val="24"/>
              </w:rPr>
            </w:pPr>
          </w:p>
        </w:tc>
        <w:tc>
          <w:tcPr>
            <w:tcW w:w="610" w:type="dxa"/>
            <w:vMerge w:val="restart"/>
            <w:tcBorders>
              <w:top w:val="nil"/>
              <w:left w:val="nil"/>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30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必要的影响措施包括但不限于：合同约束、流程约束、签署责任书、告知等。</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c>
          <w:tcPr>
            <w:tcW w:w="610" w:type="dxa"/>
            <w:vMerge w:val="continue"/>
            <w:tcBorders>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15</w:t>
            </w: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第三方服务</w:t>
            </w:r>
          </w:p>
        </w:tc>
        <w:tc>
          <w:tcPr>
            <w:tcW w:w="2563"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第三方服务</w:t>
            </w: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参评年度内可出具具有CNAS、CMA资质的第三方测试认证单位的检测报告。</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450"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r>
              <w:rPr>
                <w:rFonts w:hint="eastAsia" w:eastAsia="仿宋_GB2312"/>
                <w:color w:val="000000"/>
                <w:kern w:val="0"/>
                <w:sz w:val="24"/>
                <w:szCs w:val="24"/>
              </w:rPr>
              <w:t>采用工信部“绿色数据中心先进适用推广技术”等绿色节能技术。(每采用一项加1分,直到满分)</w:t>
            </w:r>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r>
        <w:tblPrEx>
          <w:tblLayout w:type="fixed"/>
          <w:tblCellMar>
            <w:top w:w="0" w:type="dxa"/>
            <w:left w:w="108" w:type="dxa"/>
            <w:bottom w:w="0" w:type="dxa"/>
            <w:right w:w="108" w:type="dxa"/>
          </w:tblCellMar>
        </w:tblPrEx>
        <w:trPr>
          <w:trHeight w:val="1125" w:hRule="atLeast"/>
        </w:trPr>
        <w:tc>
          <w:tcPr>
            <w:tcW w:w="532" w:type="dxa"/>
            <w:vMerge w:val="continue"/>
            <w:tcBorders>
              <w:top w:val="nil"/>
              <w:left w:val="single" w:color="auto" w:sz="4" w:space="0"/>
              <w:bottom w:val="single" w:color="auto" w:sz="4" w:space="0"/>
              <w:right w:val="single" w:color="auto" w:sz="4" w:space="0"/>
            </w:tcBorders>
            <w:vAlign w:val="center"/>
          </w:tcPr>
          <w:p>
            <w:pPr>
              <w:widowControl/>
              <w:jc w:val="center"/>
              <w:rPr>
                <w:rFonts w:eastAsia="仿宋_GB2312"/>
                <w:color w:val="000000"/>
                <w:kern w:val="0"/>
                <w:sz w:val="24"/>
                <w:szCs w:val="24"/>
              </w:rPr>
            </w:pPr>
          </w:p>
        </w:tc>
        <w:tc>
          <w:tcPr>
            <w:tcW w:w="900"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1225" w:type="dxa"/>
            <w:vMerge w:val="continue"/>
            <w:tcBorders>
              <w:top w:val="nil"/>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2563"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仿宋_GB2312"/>
                <w:color w:val="000000"/>
                <w:kern w:val="0"/>
                <w:sz w:val="24"/>
                <w:szCs w:val="24"/>
              </w:rPr>
            </w:pPr>
          </w:p>
        </w:tc>
        <w:tc>
          <w:tcPr>
            <w:tcW w:w="6162" w:type="dxa"/>
            <w:tcBorders>
              <w:top w:val="nil"/>
              <w:left w:val="nil"/>
              <w:bottom w:val="single" w:color="auto" w:sz="4" w:space="0"/>
              <w:right w:val="single" w:color="auto" w:sz="4" w:space="0"/>
            </w:tcBorders>
            <w:shd w:val="clear" w:color="auto" w:fill="auto"/>
            <w:vAlign w:val="center"/>
          </w:tcPr>
          <w:p>
            <w:pPr>
              <w:widowControl/>
              <w:rPr>
                <w:rFonts w:hint="eastAsia" w:eastAsia="仿宋_GB2312"/>
                <w:color w:val="000000"/>
                <w:kern w:val="0"/>
                <w:sz w:val="24"/>
                <w:szCs w:val="24"/>
                <w:lang w:eastAsia="zh-CN"/>
              </w:rPr>
            </w:pPr>
            <w:r>
              <w:rPr>
                <w:rFonts w:hint="eastAsia" w:eastAsia="仿宋_GB2312"/>
                <w:color w:val="000000"/>
                <w:kern w:val="0"/>
                <w:sz w:val="24"/>
                <w:szCs w:val="24"/>
              </w:rPr>
              <w:t>参评年度可出具具有CNAS标志的认证证书（职业健康管理体系认证证书、环境管理体系认证证书、信息技术服务管理体系认证证书、信息安全管理体系认证证书、能源管理体系认证证书、质量管理体系认证证书</w:t>
            </w:r>
            <w:r>
              <w:rPr>
                <w:rFonts w:hint="eastAsia" w:eastAsia="仿宋_GB2312"/>
                <w:color w:val="000000"/>
                <w:kern w:val="0"/>
                <w:sz w:val="24"/>
                <w:szCs w:val="24"/>
                <w:lang w:eastAsia="zh-CN"/>
              </w:rPr>
              <w:t>）</w:t>
            </w:r>
            <w:r>
              <w:rPr>
                <w:rFonts w:hint="eastAsia" w:eastAsia="仿宋_GB2312"/>
                <w:color w:val="000000"/>
                <w:kern w:val="0"/>
                <w:sz w:val="24"/>
                <w:szCs w:val="24"/>
              </w:rPr>
              <w:t>、数据中心服务能力成熟度（GB/T 33136）二级以上认证证书</w:t>
            </w:r>
            <w:r>
              <w:rPr>
                <w:rFonts w:hint="eastAsia" w:eastAsia="仿宋_GB2312"/>
                <w:color w:val="000000"/>
                <w:kern w:val="0"/>
                <w:sz w:val="24"/>
                <w:szCs w:val="24"/>
                <w:lang w:eastAsia="zh-CN"/>
              </w:rPr>
              <w:t>、业务连续性管理体系认证证书</w:t>
            </w:r>
            <w:r>
              <w:rPr>
                <w:rFonts w:hint="eastAsia" w:eastAsia="仿宋_GB2312"/>
                <w:color w:val="000000"/>
                <w:kern w:val="0"/>
                <w:sz w:val="24"/>
                <w:szCs w:val="24"/>
              </w:rPr>
              <w:t>(每提供一项加1分,直到满分)</w:t>
            </w:r>
            <w:r>
              <w:rPr>
                <w:rFonts w:hint="eastAsia" w:eastAsia="仿宋_GB2312"/>
                <w:color w:val="000000"/>
                <w:kern w:val="0"/>
                <w:sz w:val="24"/>
                <w:szCs w:val="24"/>
                <w:lang w:eastAsia="zh-CN"/>
              </w:rPr>
              <w:t>。</w:t>
            </w:r>
            <w:bookmarkStart w:id="0" w:name="_GoBack"/>
            <w:bookmarkEnd w:id="0"/>
          </w:p>
        </w:tc>
        <w:tc>
          <w:tcPr>
            <w:tcW w:w="1275" w:type="dxa"/>
            <w:tcBorders>
              <w:top w:val="nil"/>
              <w:left w:val="nil"/>
              <w:bottom w:val="single" w:color="auto" w:sz="4" w:space="0"/>
              <w:right w:val="single" w:color="auto" w:sz="4" w:space="0"/>
            </w:tcBorders>
            <w:shd w:val="clear" w:color="auto" w:fill="auto"/>
            <w:vAlign w:val="center"/>
          </w:tcPr>
          <w:p>
            <w:pPr>
              <w:widowControl/>
              <w:rPr>
                <w:rFonts w:eastAsia="仿宋_GB2312"/>
                <w:color w:val="000000"/>
                <w:kern w:val="0"/>
                <w:sz w:val="24"/>
                <w:szCs w:val="24"/>
              </w:rPr>
            </w:pPr>
          </w:p>
        </w:tc>
        <w:tc>
          <w:tcPr>
            <w:tcW w:w="1025"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r>
              <w:rPr>
                <w:rFonts w:hint="eastAsia" w:eastAsia="仿宋_GB2312"/>
                <w:color w:val="000000"/>
                <w:kern w:val="0"/>
                <w:sz w:val="24"/>
                <w:szCs w:val="24"/>
              </w:rPr>
              <w:t>5</w:t>
            </w:r>
          </w:p>
        </w:tc>
        <w:tc>
          <w:tcPr>
            <w:tcW w:w="610" w:type="dxa"/>
            <w:tcBorders>
              <w:top w:val="nil"/>
              <w:left w:val="nil"/>
              <w:bottom w:val="single" w:color="auto" w:sz="4" w:space="0"/>
              <w:right w:val="single" w:color="auto" w:sz="4" w:space="0"/>
            </w:tcBorders>
            <w:shd w:val="clear" w:color="auto" w:fill="auto"/>
            <w:vAlign w:val="center"/>
          </w:tcPr>
          <w:p>
            <w:pPr>
              <w:widowControl/>
              <w:jc w:val="center"/>
              <w:rPr>
                <w:rFonts w:eastAsia="仿宋_GB2312"/>
                <w:color w:val="000000"/>
                <w:kern w:val="0"/>
                <w:sz w:val="24"/>
                <w:szCs w:val="24"/>
              </w:rPr>
            </w:pPr>
          </w:p>
        </w:tc>
      </w:tr>
    </w:tbl>
    <w:p>
      <w:pPr>
        <w:tabs>
          <w:tab w:val="center" w:pos="6663"/>
        </w:tabs>
        <w:rPr>
          <w:rFonts w:eastAsia="仿宋_GB2312"/>
          <w:color w:val="000000"/>
          <w:kern w:val="0"/>
          <w:sz w:val="24"/>
          <w:szCs w:val="24"/>
        </w:rPr>
        <w:sectPr>
          <w:endnotePr>
            <w:numFmt w:val="decimal"/>
          </w:endnotePr>
          <w:pgSz w:w="16838" w:h="11906" w:orient="landscape"/>
          <w:pgMar w:top="1588" w:right="2098" w:bottom="1588" w:left="2098" w:header="851" w:footer="992" w:gutter="0"/>
          <w:pgNumType w:fmt="numberInDash"/>
          <w:cols w:space="720" w:num="1"/>
          <w:docGrid w:type="lines" w:linePitch="312" w:charSpace="0"/>
        </w:sectPr>
      </w:pPr>
    </w:p>
    <w:p>
      <w:pPr>
        <w:tabs>
          <w:tab w:val="center" w:pos="6663"/>
        </w:tabs>
        <w:jc w:val="left"/>
        <w:rPr>
          <w:rFonts w:eastAsia="仿宋_GB2312"/>
          <w:color w:val="000000"/>
          <w:kern w:val="0"/>
          <w:sz w:val="32"/>
          <w:szCs w:val="24"/>
        </w:rPr>
      </w:pPr>
      <w:r>
        <w:rPr>
          <w:rFonts w:eastAsia="仿宋_GB2312"/>
          <w:color w:val="000000"/>
          <w:kern w:val="0"/>
          <w:sz w:val="32"/>
          <w:szCs w:val="24"/>
        </w:rPr>
        <w:t>备注</w:t>
      </w:r>
      <w:r>
        <w:rPr>
          <w:rFonts w:hint="eastAsia" w:eastAsia="仿宋_GB2312"/>
          <w:color w:val="000000"/>
          <w:kern w:val="0"/>
          <w:sz w:val="32"/>
          <w:szCs w:val="24"/>
        </w:rPr>
        <w:t>：</w:t>
      </w:r>
    </w:p>
    <w:p>
      <w:pPr>
        <w:pStyle w:val="26"/>
        <w:spacing w:line="360" w:lineRule="auto"/>
        <w:ind w:firstLine="482"/>
        <w:rPr>
          <w:rFonts w:ascii="Times New Roman" w:eastAsia="仿宋_GB2312"/>
          <w:color w:val="000000"/>
          <w:sz w:val="24"/>
          <w:szCs w:val="24"/>
        </w:rPr>
      </w:pPr>
      <w:r>
        <w:rPr>
          <w:rFonts w:hint="eastAsia" w:ascii="Times New Roman" w:eastAsia="仿宋_GB2312"/>
          <w:b/>
          <w:color w:val="000000"/>
          <w:sz w:val="24"/>
          <w:szCs w:val="24"/>
        </w:rPr>
        <w:t>注1：</w:t>
      </w:r>
      <w:r>
        <w:rPr>
          <w:rFonts w:hint="eastAsia" w:ascii="Times New Roman" w:eastAsia="仿宋_GB2312"/>
          <w:color w:val="000000"/>
          <w:sz w:val="24"/>
          <w:szCs w:val="24"/>
        </w:rPr>
        <w:t>评估对象获得能源管理体系认证证书，证书在有效期内且证书范围覆盖评估对象场所范围的，直接获得“能源统计和分析”项目的全部得分。</w:t>
      </w:r>
    </w:p>
    <w:p>
      <w:pPr>
        <w:pStyle w:val="26"/>
        <w:spacing w:line="360" w:lineRule="auto"/>
        <w:ind w:firstLine="482"/>
        <w:rPr>
          <w:rFonts w:ascii="Times New Roman" w:eastAsia="仿宋_GB2312"/>
          <w:color w:val="000000"/>
          <w:sz w:val="24"/>
          <w:szCs w:val="24"/>
        </w:rPr>
      </w:pPr>
      <w:r>
        <w:rPr>
          <w:rFonts w:ascii="Times New Roman" w:eastAsia="仿宋_GB2312"/>
          <w:b/>
          <w:color w:val="000000"/>
          <w:sz w:val="24"/>
          <w:szCs w:val="24"/>
        </w:rPr>
        <w:t>注</w:t>
      </w:r>
      <w:r>
        <w:rPr>
          <w:rFonts w:hint="eastAsia" w:ascii="Times New Roman" w:eastAsia="仿宋_GB2312"/>
          <w:b/>
          <w:color w:val="000000"/>
          <w:sz w:val="24"/>
          <w:szCs w:val="24"/>
        </w:rPr>
        <w:t>2：</w:t>
      </w:r>
      <w:r>
        <w:rPr>
          <w:rFonts w:hint="eastAsia" w:ascii="Times New Roman" w:eastAsia="仿宋_GB2312"/>
          <w:color w:val="000000"/>
          <w:sz w:val="24"/>
          <w:szCs w:val="24"/>
        </w:rPr>
        <w:t>评估对象获得环境管理体系认证证书或者数据中心服务能力成熟度（GB/T 33136）二级以上认证证书，证书在有效期内且证书范围覆盖评估对象场所范围的，直接获得“环境影响管理”内容的全部得分。</w:t>
      </w:r>
    </w:p>
    <w:p>
      <w:pPr>
        <w:pStyle w:val="26"/>
        <w:spacing w:line="360" w:lineRule="auto"/>
        <w:ind w:firstLine="482"/>
        <w:rPr>
          <w:rFonts w:ascii="Times New Roman" w:eastAsia="仿宋_GB2312"/>
          <w:color w:val="000000"/>
          <w:sz w:val="24"/>
          <w:szCs w:val="24"/>
        </w:rPr>
      </w:pPr>
      <w:r>
        <w:rPr>
          <w:rFonts w:ascii="Times New Roman" w:eastAsia="仿宋_GB2312"/>
          <w:b/>
          <w:color w:val="000000"/>
          <w:sz w:val="24"/>
          <w:szCs w:val="24"/>
        </w:rPr>
        <w:t>注</w:t>
      </w:r>
      <w:r>
        <w:rPr>
          <w:rFonts w:hint="eastAsia" w:ascii="Times New Roman" w:eastAsia="仿宋_GB2312"/>
          <w:b/>
          <w:color w:val="000000"/>
          <w:sz w:val="24"/>
          <w:szCs w:val="24"/>
        </w:rPr>
        <w:t>3：</w:t>
      </w:r>
      <w:r>
        <w:rPr>
          <w:rFonts w:hint="eastAsia" w:ascii="Times New Roman" w:eastAsia="仿宋_GB2312"/>
          <w:color w:val="000000"/>
          <w:sz w:val="24"/>
          <w:szCs w:val="24"/>
        </w:rPr>
        <w:t>评估对象获得职业健康管理体系认证证书或者数据中心服务能力成熟度（GB/T 33136）二级以上认证证书，证书在有效期内且证书范围覆盖评估对象场所范围的，直接获得“环境影响管理”内容的全部得分。</w:t>
      </w:r>
    </w:p>
    <w:p>
      <w:pPr>
        <w:tabs>
          <w:tab w:val="center" w:pos="6663"/>
        </w:tabs>
        <w:rPr>
          <w:rFonts w:eastAsia="仿宋_GB2312"/>
          <w:color w:val="000000"/>
          <w:kern w:val="0"/>
          <w:sz w:val="24"/>
          <w:szCs w:val="24"/>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p>
      <w:pPr>
        <w:jc w:val="left"/>
        <w:rPr>
          <w:rFonts w:hint="eastAsia" w:cs="Times New Roman"/>
          <w:kern w:val="2"/>
          <w:sz w:val="21"/>
          <w:lang w:val="en-US" w:eastAsia="zh-CN" w:bidi="ar-SA"/>
        </w:rPr>
      </w:pPr>
    </w:p>
    <w:sectPr>
      <w:footerReference r:id="rId6" w:type="default"/>
      <w:pgSz w:w="12240" w:h="15840"/>
      <w:pgMar w:top="2098" w:right="1474" w:bottom="1984" w:left="1587" w:header="720" w:footer="720" w:gutter="0"/>
      <w:pgNumType w:fmt="numberInDash"/>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Noto Sans Mono CJK JP Regular">
    <w:altName w:val="仿宋"/>
    <w:panose1 w:val="00000000000000000000"/>
    <w:charset w:val="00"/>
    <w:family w:val="swiss"/>
    <w:pitch w:val="default"/>
    <w:sig w:usb0="00000000" w:usb1="00000000" w:usb2="00000000" w:usb3="00000000" w:csb0="00000000" w:csb1="00000000"/>
  </w:font>
  <w:font w:name="黑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altName w:val="方正宋体S-超大字符集"/>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firstLine="360"/>
    </w:pPr>
    <w:r>
      <w:rPr>
        <w:sz w:val="21"/>
      </w:rPr>
      <w:pict>
        <v:shape id="_x0000_s3118" o:spid="_x0000_s3118" o:spt="202" type="#_x0000_t202" style="position:absolute;left:0pt;margin-top:0pt;height:144pt;width:144pt;mso-position-horizontal:outside;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ind w:left="210" w:leftChars="100"/>
      <w:rPr>
        <w:rStyle w:val="12"/>
        <w:rFonts w:ascii="宋体" w:hAnsi="宋体"/>
        <w:sz w:val="28"/>
      </w:rPr>
    </w:pPr>
    <w:r>
      <w:rPr>
        <w:rStyle w:val="12"/>
        <w:rFonts w:hint="eastAsia" w:ascii="宋体" w:hAnsi="宋体"/>
        <w:sz w:val="28"/>
      </w:rPr>
      <w:t xml:space="preserve">- </w:t>
    </w:r>
    <w:r>
      <w:rPr>
        <w:rStyle w:val="12"/>
        <w:rFonts w:ascii="宋体" w:hAnsi="宋体"/>
        <w:sz w:val="28"/>
      </w:rPr>
      <w:fldChar w:fldCharType="begin"/>
    </w:r>
    <w:r>
      <w:rPr>
        <w:rStyle w:val="12"/>
        <w:rFonts w:ascii="宋体" w:hAnsi="宋体"/>
        <w:sz w:val="28"/>
      </w:rPr>
      <w:instrText xml:space="preserve">PAGE  </w:instrText>
    </w:r>
    <w:r>
      <w:rPr>
        <w:rStyle w:val="12"/>
        <w:rFonts w:ascii="宋体" w:hAnsi="宋体"/>
        <w:sz w:val="28"/>
      </w:rPr>
      <w:fldChar w:fldCharType="separate"/>
    </w:r>
    <w:r>
      <w:rPr>
        <w:rStyle w:val="12"/>
        <w:rFonts w:ascii="宋体" w:hAnsi="宋体"/>
        <w:sz w:val="28"/>
      </w:rPr>
      <w:t>12</w:t>
    </w:r>
    <w:r>
      <w:rPr>
        <w:rStyle w:val="12"/>
        <w:rFonts w:ascii="宋体" w:hAnsi="宋体"/>
        <w:sz w:val="28"/>
      </w:rPr>
      <w:fldChar w:fldCharType="end"/>
    </w:r>
    <w:r>
      <w:rPr>
        <w:rStyle w:val="12"/>
        <w:rFonts w:hint="eastAsia" w:ascii="宋体" w:hAnsi="宋体"/>
        <w:sz w:val="28"/>
      </w:rPr>
      <w:t xml:space="preserve"> -</w:t>
    </w:r>
  </w:p>
  <w:p>
    <w:pPr>
      <w:pStyle w:val="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3120" o:spid="_x0000_s3120" o:spt="202" type="#_x0000_t202" style="position:absolute;left:0pt;margin-top:0pt;height:144pt;width:144pt;mso-position-horizontal:outside;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44</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both"/>
      <w:rPr>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F433C"/>
    <w:multiLevelType w:val="multilevel"/>
    <w:tmpl w:val="0E7F433C"/>
    <w:lvl w:ilvl="0" w:tentative="0">
      <w:start w:val="1"/>
      <w:numFmt w:val="lowerLetter"/>
      <w:pStyle w:val="35"/>
      <w:lvlText w:val="%1)"/>
      <w:lvlJc w:val="left"/>
      <w:pPr>
        <w:tabs>
          <w:tab w:val="left" w:pos="840"/>
        </w:tabs>
        <w:ind w:left="839" w:hanging="419"/>
      </w:pPr>
      <w:rPr>
        <w:rFonts w:hint="default" w:ascii="Times New Roman" w:hAnsi="Times New Roman" w:eastAsia="宋体" w:cs="Times New Roman"/>
        <w:b w:val="0"/>
        <w:i w:val="0"/>
        <w:sz w:val="21"/>
        <w:szCs w:val="21"/>
      </w:rPr>
    </w:lvl>
    <w:lvl w:ilvl="1" w:tentative="0">
      <w:start w:val="1"/>
      <w:numFmt w:val="decimal"/>
      <w:pStyle w:val="36"/>
      <w:lvlText w:val="%2)"/>
      <w:lvlJc w:val="left"/>
      <w:pPr>
        <w:tabs>
          <w:tab w:val="left" w:pos="1260"/>
        </w:tabs>
        <w:ind w:left="1259" w:hanging="419"/>
      </w:pPr>
      <w:rPr>
        <w:rFonts w:hint="default" w:ascii="Times New Roman" w:hAnsi="Times New Roman" w:cs="Times New Roman"/>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
    <w:nsid w:val="657D3FBC"/>
    <w:multiLevelType w:val="multilevel"/>
    <w:tmpl w:val="657D3FBC"/>
    <w:lvl w:ilvl="0" w:tentative="0">
      <w:start w:val="1"/>
      <w:numFmt w:val="upperLetter"/>
      <w:pStyle w:val="37"/>
      <w:suff w:val="nothing"/>
      <w:lvlText w:val="附　录　%1"/>
      <w:lvlJc w:val="left"/>
      <w:pPr>
        <w:ind w:left="7514"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2269"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4111" w:firstLine="0"/>
      </w:pPr>
      <w:rPr>
        <w:rFonts w:hint="eastAsia" w:ascii="黑体" w:hAnsi="Times New Roman" w:eastAsia="黑体"/>
        <w:b w:val="0"/>
        <w:i w:val="0"/>
        <w:sz w:val="21"/>
      </w:rPr>
    </w:lvl>
    <w:lvl w:ilvl="3" w:tentative="0">
      <w:start w:val="1"/>
      <w:numFmt w:val="decimal"/>
      <w:suff w:val="nothing"/>
      <w:lvlText w:val="%1.%2.%3.%4　"/>
      <w:lvlJc w:val="left"/>
      <w:pPr>
        <w:ind w:left="4111" w:firstLine="0"/>
      </w:pPr>
      <w:rPr>
        <w:rFonts w:hint="eastAsia" w:ascii="黑体" w:hAnsi="Times New Roman" w:eastAsia="黑体"/>
        <w:b w:val="0"/>
        <w:i w:val="0"/>
        <w:sz w:val="21"/>
      </w:rPr>
    </w:lvl>
    <w:lvl w:ilvl="4" w:tentative="0">
      <w:start w:val="1"/>
      <w:numFmt w:val="decimal"/>
      <w:suff w:val="nothing"/>
      <w:lvlText w:val="%1.%2.%3.%4.%5　"/>
      <w:lvlJc w:val="left"/>
      <w:pPr>
        <w:ind w:left="4111" w:firstLine="0"/>
      </w:pPr>
      <w:rPr>
        <w:rFonts w:hint="eastAsia" w:ascii="黑体" w:hAnsi="Times New Roman" w:eastAsia="黑体"/>
        <w:b w:val="0"/>
        <w:i w:val="0"/>
        <w:sz w:val="21"/>
      </w:rPr>
    </w:lvl>
    <w:lvl w:ilvl="5" w:tentative="0">
      <w:start w:val="1"/>
      <w:numFmt w:val="decimal"/>
      <w:suff w:val="nothing"/>
      <w:lvlText w:val="%1.%2.%3.%4.%5.%6　"/>
      <w:lvlJc w:val="left"/>
      <w:pPr>
        <w:ind w:left="4111" w:firstLine="0"/>
      </w:pPr>
      <w:rPr>
        <w:rFonts w:hint="eastAsia" w:ascii="黑体" w:hAnsi="Times New Roman" w:eastAsia="黑体"/>
        <w:b w:val="0"/>
        <w:i w:val="0"/>
        <w:sz w:val="21"/>
      </w:rPr>
    </w:lvl>
    <w:lvl w:ilvl="6" w:tentative="0">
      <w:start w:val="1"/>
      <w:numFmt w:val="decimal"/>
      <w:suff w:val="nothing"/>
      <w:lvlText w:val="%1.%2.%3.%4.%5.%6.%7　"/>
      <w:lvlJc w:val="left"/>
      <w:pPr>
        <w:ind w:left="4111" w:firstLine="0"/>
      </w:pPr>
      <w:rPr>
        <w:rFonts w:hint="eastAsia" w:ascii="黑体" w:hAnsi="Times New Roman" w:eastAsia="黑体"/>
        <w:b w:val="0"/>
        <w:i w:val="0"/>
        <w:sz w:val="21"/>
      </w:rPr>
    </w:lvl>
    <w:lvl w:ilvl="7" w:tentative="0">
      <w:start w:val="1"/>
      <w:numFmt w:val="decimal"/>
      <w:lvlText w:val="%1.%2.%3.%4.%5.%6.%7.%8"/>
      <w:lvlJc w:val="left"/>
      <w:pPr>
        <w:tabs>
          <w:tab w:val="left" w:pos="8505"/>
        </w:tabs>
        <w:ind w:left="8505" w:hanging="1418"/>
      </w:pPr>
      <w:rPr>
        <w:rFonts w:hint="eastAsia"/>
      </w:rPr>
    </w:lvl>
    <w:lvl w:ilvl="8" w:tentative="0">
      <w:start w:val="1"/>
      <w:numFmt w:val="decimal"/>
      <w:lvlText w:val="%1.%2.%3.%4.%5.%6.%7.%8.%9"/>
      <w:lvlJc w:val="left"/>
      <w:pPr>
        <w:tabs>
          <w:tab w:val="left" w:pos="9213"/>
        </w:tabs>
        <w:ind w:left="9213"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NotTrackMoves/>
  <w:documentProtection w:enforcement="0"/>
  <w:defaultTabStop w:val="500"/>
  <w:drawingGridHorizontalSpacing w:val="1"/>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suppressSpBfAfterPgBrk/>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EB7CB9"/>
    <w:rsid w:val="000D6215"/>
    <w:rsid w:val="000D65EA"/>
    <w:rsid w:val="001E5632"/>
    <w:rsid w:val="00207AE0"/>
    <w:rsid w:val="0047684D"/>
    <w:rsid w:val="0058384D"/>
    <w:rsid w:val="005D40E7"/>
    <w:rsid w:val="00906BEE"/>
    <w:rsid w:val="00976E4E"/>
    <w:rsid w:val="00A6178B"/>
    <w:rsid w:val="00C7629D"/>
    <w:rsid w:val="00DA2C51"/>
    <w:rsid w:val="00E81408"/>
    <w:rsid w:val="00EB7CB9"/>
    <w:rsid w:val="00EE41A9"/>
    <w:rsid w:val="00F71829"/>
    <w:rsid w:val="2DD7452F"/>
    <w:rsid w:val="2FF72B03"/>
    <w:rsid w:val="35F8B80D"/>
    <w:rsid w:val="36FF1ECF"/>
    <w:rsid w:val="37770450"/>
    <w:rsid w:val="39BF00A0"/>
    <w:rsid w:val="3F7BAC3D"/>
    <w:rsid w:val="3FA7E9CF"/>
    <w:rsid w:val="3FBF9254"/>
    <w:rsid w:val="3FD617FF"/>
    <w:rsid w:val="3FFFDA43"/>
    <w:rsid w:val="42BFA067"/>
    <w:rsid w:val="46D5B534"/>
    <w:rsid w:val="4FFFB71D"/>
    <w:rsid w:val="54FFE8E5"/>
    <w:rsid w:val="57AD2FC8"/>
    <w:rsid w:val="5BFB044C"/>
    <w:rsid w:val="5BFD1FEF"/>
    <w:rsid w:val="5ED3FDBF"/>
    <w:rsid w:val="5FD6F9CC"/>
    <w:rsid w:val="62BC5FB0"/>
    <w:rsid w:val="695F9419"/>
    <w:rsid w:val="6DADEA88"/>
    <w:rsid w:val="6F75D56F"/>
    <w:rsid w:val="6FE74AFB"/>
    <w:rsid w:val="73EB7849"/>
    <w:rsid w:val="77FB81E2"/>
    <w:rsid w:val="7B3F7B64"/>
    <w:rsid w:val="7C7B06C2"/>
    <w:rsid w:val="7CDF3EAD"/>
    <w:rsid w:val="7DD2405C"/>
    <w:rsid w:val="7E7ECA07"/>
    <w:rsid w:val="7EC76775"/>
    <w:rsid w:val="7EDD9036"/>
    <w:rsid w:val="7EDF72E5"/>
    <w:rsid w:val="7F7C62BC"/>
    <w:rsid w:val="7F9D832F"/>
    <w:rsid w:val="7FBF3BDC"/>
    <w:rsid w:val="7FBF5C7B"/>
    <w:rsid w:val="7FDAA123"/>
    <w:rsid w:val="7FEF7056"/>
    <w:rsid w:val="8BBF6F14"/>
    <w:rsid w:val="9E3B43BE"/>
    <w:rsid w:val="9F7F5D3E"/>
    <w:rsid w:val="9FEC5CEB"/>
    <w:rsid w:val="B6FD62BB"/>
    <w:rsid w:val="B7CF075D"/>
    <w:rsid w:val="BA7B23C6"/>
    <w:rsid w:val="BCF4F31F"/>
    <w:rsid w:val="BD2253EB"/>
    <w:rsid w:val="BDB6E6B5"/>
    <w:rsid w:val="BDCF161C"/>
    <w:rsid w:val="BFE4B07C"/>
    <w:rsid w:val="BFFBD837"/>
    <w:rsid w:val="CA6F28F2"/>
    <w:rsid w:val="CFFF74A7"/>
    <w:rsid w:val="D7BB4D4D"/>
    <w:rsid w:val="D7DD9B97"/>
    <w:rsid w:val="D7FF9505"/>
    <w:rsid w:val="D9B54B87"/>
    <w:rsid w:val="DBFA7939"/>
    <w:rsid w:val="DDFFC978"/>
    <w:rsid w:val="DF8DF2E9"/>
    <w:rsid w:val="ECB74B86"/>
    <w:rsid w:val="ED9BCAD4"/>
    <w:rsid w:val="EDE372E8"/>
    <w:rsid w:val="EE9FAEE8"/>
    <w:rsid w:val="EFBFD0A9"/>
    <w:rsid w:val="F27F0913"/>
    <w:rsid w:val="F3DD65EA"/>
    <w:rsid w:val="F7BFDD55"/>
    <w:rsid w:val="F8E7323B"/>
    <w:rsid w:val="F9B76953"/>
    <w:rsid w:val="FC7F8A82"/>
    <w:rsid w:val="FE734873"/>
    <w:rsid w:val="FEB54088"/>
    <w:rsid w:val="FEE6E0C5"/>
    <w:rsid w:val="FEF7EF46"/>
    <w:rsid w:val="FF6F3032"/>
    <w:rsid w:val="FF75D359"/>
    <w:rsid w:val="FF974AC1"/>
    <w:rsid w:val="FF9BF693"/>
    <w:rsid w:val="FFEDE4D4"/>
    <w:rsid w:val="FFFB58C9"/>
    <w:rsid w:val="FFFF1155"/>
    <w:rsid w:val="FFFFEF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9"/>
    <w:pPr>
      <w:jc w:val="left"/>
      <w:outlineLvl w:val="0"/>
    </w:pPr>
    <w:rPr>
      <w:rFonts w:hint="eastAsia" w:ascii="宋体" w:hAnsi="宋体" w:cs="宋体"/>
      <w:b/>
      <w:kern w:val="44"/>
      <w:sz w:val="48"/>
      <w:szCs w:val="48"/>
    </w:rPr>
  </w:style>
  <w:style w:type="character" w:default="1" w:styleId="11">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2"/>
    <w:semiHidden/>
    <w:unhideWhenUsed/>
    <w:qFormat/>
    <w:uiPriority w:val="99"/>
    <w:rPr>
      <w:b/>
      <w:bCs/>
    </w:rPr>
  </w:style>
  <w:style w:type="paragraph" w:styleId="4">
    <w:name w:val="annotation text"/>
    <w:basedOn w:val="1"/>
    <w:link w:val="21"/>
    <w:semiHidden/>
    <w:unhideWhenUsed/>
    <w:qFormat/>
    <w:uiPriority w:val="99"/>
    <w:pPr>
      <w:jc w:val="left"/>
    </w:pPr>
  </w:style>
  <w:style w:type="paragraph" w:styleId="5">
    <w:name w:val="Body Text"/>
    <w:basedOn w:val="1"/>
    <w:qFormat/>
    <w:uiPriority w:val="1"/>
    <w:pPr>
      <w:autoSpaceDE w:val="0"/>
      <w:autoSpaceDN w:val="0"/>
      <w:jc w:val="left"/>
    </w:pPr>
    <w:rPr>
      <w:rFonts w:ascii="Noto Sans Mono CJK JP Regular" w:hAnsi="Noto Sans Mono CJK JP Regular" w:eastAsia="Noto Sans Mono CJK JP Regular" w:cs="Noto Sans Mono CJK JP Regular"/>
      <w:kern w:val="0"/>
      <w:sz w:val="32"/>
      <w:szCs w:val="32"/>
      <w:lang w:eastAsia="en-US"/>
    </w:rPr>
  </w:style>
  <w:style w:type="paragraph" w:styleId="6">
    <w:name w:val="Balloon Text"/>
    <w:basedOn w:val="1"/>
    <w:link w:val="19"/>
    <w:unhideWhenUsed/>
    <w:qFormat/>
    <w:uiPriority w:val="99"/>
    <w:rPr>
      <w:sz w:val="18"/>
      <w:szCs w:val="18"/>
    </w:rPr>
  </w:style>
  <w:style w:type="paragraph" w:styleId="7">
    <w:name w:val="footer"/>
    <w:basedOn w:val="1"/>
    <w:semiHidden/>
    <w:unhideWhenUsed/>
    <w:qFormat/>
    <w:uiPriority w:val="0"/>
    <w:pPr>
      <w:tabs>
        <w:tab w:val="center" w:pos="4153"/>
        <w:tab w:val="right" w:pos="8306"/>
      </w:tabs>
      <w:snapToGrid w:val="0"/>
      <w:jc w:val="left"/>
    </w:pPr>
    <w:rPr>
      <w:sz w:val="18"/>
    </w:rPr>
  </w:style>
  <w:style w:type="paragraph" w:styleId="8">
    <w:name w:val="header"/>
    <w:basedOn w:val="1"/>
    <w:semiHidden/>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9">
    <w:name w:val="footnote text"/>
    <w:basedOn w:val="1"/>
    <w:unhideWhenUsed/>
    <w:qFormat/>
    <w:uiPriority w:val="99"/>
    <w:pPr>
      <w:snapToGrid w:val="0"/>
      <w:jc w:val="left"/>
    </w:pPr>
    <w:rPr>
      <w:sz w:val="18"/>
      <w:szCs w:val="18"/>
    </w:rPr>
  </w:style>
  <w:style w:type="paragraph" w:styleId="10">
    <w:name w:val="Normal (Web)"/>
    <w:basedOn w:val="1"/>
    <w:semiHidden/>
    <w:unhideWhenUsed/>
    <w:qFormat/>
    <w:uiPriority w:val="99"/>
    <w:pPr>
      <w:jc w:val="left"/>
    </w:pPr>
    <w:rPr>
      <w:kern w:val="0"/>
      <w:sz w:val="24"/>
    </w:rPr>
  </w:style>
  <w:style w:type="character" w:styleId="12">
    <w:name w:val="page number"/>
    <w:basedOn w:val="11"/>
    <w:semiHidden/>
    <w:unhideWhenUsed/>
    <w:qFormat/>
    <w:uiPriority w:val="99"/>
  </w:style>
  <w:style w:type="character" w:styleId="13">
    <w:name w:val="Emphasis"/>
    <w:basedOn w:val="11"/>
    <w:qFormat/>
    <w:uiPriority w:val="20"/>
  </w:style>
  <w:style w:type="character" w:styleId="14">
    <w:name w:val="Hyperlink"/>
    <w:semiHidden/>
    <w:unhideWhenUsed/>
    <w:qFormat/>
    <w:uiPriority w:val="99"/>
    <w:rPr>
      <w:color w:val="0000FF"/>
      <w:u w:val="single"/>
    </w:rPr>
  </w:style>
  <w:style w:type="character" w:styleId="15">
    <w:name w:val="annotation reference"/>
    <w:semiHidden/>
    <w:unhideWhenUsed/>
    <w:qFormat/>
    <w:uiPriority w:val="99"/>
    <w:rPr>
      <w:sz w:val="21"/>
      <w:szCs w:val="21"/>
    </w:rPr>
  </w:style>
  <w:style w:type="character" w:styleId="16">
    <w:name w:val="footnote reference"/>
    <w:unhideWhenUsed/>
    <w:qFormat/>
    <w:uiPriority w:val="99"/>
    <w:rPr>
      <w:vertAlign w:val="superscript"/>
    </w:rPr>
  </w:style>
  <w:style w:type="table" w:styleId="18">
    <w:name w:val="Table Grid"/>
    <w:basedOn w:val="17"/>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9">
    <w:name w:val="批注框文本 Char"/>
    <w:link w:val="6"/>
    <w:qFormat/>
    <w:uiPriority w:val="99"/>
    <w:rPr>
      <w:kern w:val="2"/>
      <w:sz w:val="18"/>
      <w:szCs w:val="18"/>
    </w:rPr>
  </w:style>
  <w:style w:type="character" w:customStyle="1" w:styleId="20">
    <w:name w:val="批注框文本 Char1"/>
    <w:semiHidden/>
    <w:qFormat/>
    <w:uiPriority w:val="99"/>
    <w:rPr>
      <w:kern w:val="2"/>
      <w:sz w:val="18"/>
      <w:szCs w:val="18"/>
    </w:rPr>
  </w:style>
  <w:style w:type="character" w:customStyle="1" w:styleId="21">
    <w:name w:val="批注文字 Char"/>
    <w:link w:val="4"/>
    <w:semiHidden/>
    <w:qFormat/>
    <w:uiPriority w:val="99"/>
    <w:rPr>
      <w:kern w:val="2"/>
      <w:sz w:val="21"/>
    </w:rPr>
  </w:style>
  <w:style w:type="character" w:customStyle="1" w:styleId="22">
    <w:name w:val="批注主题 Char"/>
    <w:link w:val="3"/>
    <w:semiHidden/>
    <w:qFormat/>
    <w:uiPriority w:val="99"/>
    <w:rPr>
      <w:b/>
      <w:bCs/>
      <w:kern w:val="2"/>
      <w:sz w:val="21"/>
    </w:rPr>
  </w:style>
  <w:style w:type="paragraph" w:styleId="23">
    <w:name w:val="List Paragraph"/>
    <w:basedOn w:val="1"/>
    <w:qFormat/>
    <w:uiPriority w:val="34"/>
    <w:pPr>
      <w:ind w:firstLine="420" w:firstLineChars="200"/>
    </w:pPr>
    <w:rPr>
      <w:szCs w:val="22"/>
    </w:rPr>
  </w:style>
  <w:style w:type="character" w:customStyle="1" w:styleId="24">
    <w:name w:val="标题 Char"/>
    <w:link w:val="25"/>
    <w:qFormat/>
    <w:uiPriority w:val="0"/>
    <w:rPr>
      <w:rFonts w:ascii="黑体" w:hAnsi="黑体" w:eastAsia="黑体"/>
      <w:b/>
      <w:sz w:val="36"/>
    </w:rPr>
  </w:style>
  <w:style w:type="paragraph" w:customStyle="1" w:styleId="25">
    <w:name w:val="标题1"/>
    <w:basedOn w:val="1"/>
    <w:next w:val="1"/>
    <w:link w:val="24"/>
    <w:qFormat/>
    <w:uiPriority w:val="0"/>
    <w:pPr>
      <w:spacing w:before="240" w:after="60"/>
      <w:jc w:val="center"/>
      <w:outlineLvl w:val="0"/>
    </w:pPr>
    <w:rPr>
      <w:rFonts w:ascii="黑体" w:hAnsi="黑体" w:eastAsia="黑体"/>
      <w:b/>
      <w:kern w:val="0"/>
      <w:sz w:val="36"/>
    </w:rPr>
  </w:style>
  <w:style w:type="paragraph" w:customStyle="1" w:styleId="2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7">
    <w:name w:val="Table Paragraph"/>
    <w:basedOn w:val="1"/>
    <w:qFormat/>
    <w:uiPriority w:val="1"/>
    <w:pPr>
      <w:autoSpaceDE w:val="0"/>
      <w:autoSpaceDN w:val="0"/>
      <w:jc w:val="left"/>
    </w:pPr>
    <w:rPr>
      <w:rFonts w:ascii="Noto Sans Mono CJK JP Regular" w:hAnsi="Noto Sans Mono CJK JP Regular" w:eastAsia="Noto Sans Mono CJK JP Regular" w:cs="Noto Sans Mono CJK JP Regular"/>
      <w:kern w:val="0"/>
      <w:sz w:val="22"/>
      <w:szCs w:val="22"/>
      <w:lang w:eastAsia="en-US"/>
    </w:rPr>
  </w:style>
  <w:style w:type="paragraph" w:customStyle="1" w:styleId="2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9">
    <w:name w:val="其他发布部门"/>
    <w:basedOn w:val="30"/>
    <w:qFormat/>
    <w:uiPriority w:val="0"/>
    <w:pPr>
      <w:framePr w:y="15310"/>
      <w:spacing w:line="0" w:lineRule="atLeast"/>
    </w:pPr>
    <w:rPr>
      <w:rFonts w:ascii="黑体" w:eastAsia="黑体"/>
      <w:b w:val="0"/>
    </w:rPr>
  </w:style>
  <w:style w:type="paragraph" w:customStyle="1" w:styleId="30">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31">
    <w:name w:val="章标题"/>
    <w:next w:val="26"/>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32">
    <w:name w:val="二级条标题"/>
    <w:basedOn w:val="33"/>
    <w:next w:val="26"/>
    <w:qFormat/>
    <w:uiPriority w:val="0"/>
    <w:pPr>
      <w:spacing w:before="50" w:after="50"/>
      <w:outlineLvl w:val="3"/>
    </w:pPr>
  </w:style>
  <w:style w:type="paragraph" w:customStyle="1" w:styleId="33">
    <w:name w:val="一级条标题"/>
    <w:next w:val="26"/>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34">
    <w:name w:val="正文表标题"/>
    <w:next w:val="26"/>
    <w:qFormat/>
    <w:uiPriority w:val="0"/>
    <w:pPr>
      <w:spacing w:beforeLines="50" w:afterLines="50"/>
      <w:jc w:val="center"/>
    </w:pPr>
    <w:rPr>
      <w:rFonts w:ascii="黑体" w:hAnsi="Times New Roman" w:eastAsia="黑体" w:cs="Times New Roman"/>
      <w:sz w:val="21"/>
      <w:lang w:val="en-US" w:eastAsia="zh-CN" w:bidi="ar-SA"/>
    </w:rPr>
  </w:style>
  <w:style w:type="paragraph" w:customStyle="1" w:styleId="35">
    <w:name w:val="字母编号列项（一级）"/>
    <w:qFormat/>
    <w:uiPriority w:val="0"/>
    <w:pPr>
      <w:numPr>
        <w:ilvl w:val="0"/>
        <w:numId w:val="1"/>
      </w:numPr>
      <w:jc w:val="both"/>
    </w:pPr>
    <w:rPr>
      <w:rFonts w:ascii="宋体" w:hAnsi="Times New Roman" w:eastAsia="宋体" w:cs="Times New Roman"/>
      <w:sz w:val="21"/>
      <w:lang w:val="en-US" w:eastAsia="zh-CN" w:bidi="ar-SA"/>
    </w:rPr>
  </w:style>
  <w:style w:type="paragraph" w:customStyle="1" w:styleId="36">
    <w:name w:val="数字编号列项（二级）"/>
    <w:qFormat/>
    <w:uiPriority w:val="0"/>
    <w:pPr>
      <w:numPr>
        <w:ilvl w:val="1"/>
        <w:numId w:val="1"/>
      </w:numPr>
      <w:tabs>
        <w:tab w:val="left" w:pos="840"/>
      </w:tabs>
      <w:jc w:val="both"/>
    </w:pPr>
    <w:rPr>
      <w:rFonts w:ascii="宋体" w:hAnsi="Times New Roman" w:eastAsia="宋体" w:cs="Times New Roman"/>
      <w:sz w:val="21"/>
      <w:lang w:val="en-US" w:eastAsia="zh-CN" w:bidi="ar-SA"/>
    </w:rPr>
  </w:style>
  <w:style w:type="paragraph" w:customStyle="1" w:styleId="37">
    <w:name w:val="附录标识"/>
    <w:basedOn w:val="1"/>
    <w:next w:val="26"/>
    <w:qFormat/>
    <w:uiPriority w:val="0"/>
    <w:pPr>
      <w:keepNext/>
      <w:widowControl/>
      <w:numPr>
        <w:ilvl w:val="0"/>
        <w:numId w:val="2"/>
      </w:numPr>
      <w:shd w:val="clear" w:color="FFFFFF" w:fill="FFFFFF"/>
      <w:tabs>
        <w:tab w:val="left" w:pos="6405"/>
      </w:tabs>
      <w:spacing w:before="640" w:after="280"/>
      <w:jc w:val="center"/>
      <w:outlineLvl w:val="0"/>
    </w:pPr>
    <w:rPr>
      <w:rFonts w:ascii="黑体" w:eastAsia="黑体"/>
      <w:kern w:val="0"/>
      <w:szCs w:val="20"/>
    </w:rPr>
  </w:style>
  <w:style w:type="paragraph" w:customStyle="1" w:styleId="3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118" textRotate="1"/>
    <customShpInfo spid="_x0000_s312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50</Pages>
  <Words>22883</Words>
  <Characters>24591</Characters>
  <Lines>12</Lines>
  <Paragraphs>3</Paragraphs>
  <TotalTime>39</TotalTime>
  <ScaleCrop>false</ScaleCrop>
  <LinksUpToDate>false</LinksUpToDate>
  <CharactersWithSpaces>25099</CharactersWithSpaces>
  <Application>WPS Office_10.8.0.7041_F1E327BC-269C-435d-A152-05C5408002CA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2017-09-26T21:49:00Z</dcterms:created>
  <dc:creator>admin</dc:creator>
  <cp:lastModifiedBy>admin</cp:lastModifiedBy>
  <cp:lastPrinted>2019-05-15T15:32:00Z</cp:lastPrinted>
  <dcterms:modified xsi:type="dcterms:W3CDTF">2019-05-15T09:09:27Z</dcterms:modified>
  <dc:title>工业和信息化部办公厅关于开展绿色制造体系建设的通知</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2052-10.8.0.7041</vt:lpwstr>
  </property>
</Properties>
</file>