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spacing w:after="0" w:line="366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32"/>
          <w:szCs w:val="32"/>
          <w:b w:val="1"/>
          <w:bCs w:val="1"/>
          <w:color w:val="auto"/>
        </w:rPr>
        <w:t>新能源交通工具与循环经济 EMCE 2019</w:t>
      </w:r>
    </w:p>
    <w:p>
      <w:pPr>
        <w:spacing w:after="0" w:line="259" w:lineRule="exact"/>
        <w:rPr>
          <w:sz w:val="24"/>
          <w:szCs w:val="24"/>
          <w:color w:val="auto"/>
        </w:rPr>
      </w:pPr>
    </w:p>
    <w:p>
      <w:pPr>
        <w:spacing w:after="0" w:line="366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32"/>
          <w:szCs w:val="32"/>
          <w:color w:val="auto"/>
        </w:rPr>
        <w:t>国际会议，展览，工厂参观和研讨会</w:t>
      </w:r>
    </w:p>
    <w:p>
      <w:pPr>
        <w:spacing w:after="0" w:line="293" w:lineRule="exact"/>
        <w:rPr>
          <w:sz w:val="24"/>
          <w:szCs w:val="24"/>
          <w:color w:val="auto"/>
        </w:rPr>
      </w:pPr>
    </w:p>
    <w:p>
      <w:pPr>
        <w:spacing w:after="0" w:line="331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9"/>
          <w:szCs w:val="29"/>
          <w:color w:val="auto"/>
        </w:rPr>
        <w:t>2019 年 7 月 1 日至 3 日，日本东京威斯汀酒店</w:t>
      </w:r>
    </w:p>
    <w:p>
      <w:pPr>
        <w:spacing w:after="0" w:line="2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-5080</wp:posOffset>
            </wp:positionH>
            <wp:positionV relativeFrom="paragraph">
              <wp:posOffset>238760</wp:posOffset>
            </wp:positionV>
            <wp:extent cx="6047740" cy="522478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7740" cy="5224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78" w:lineRule="exact"/>
        <w:rPr>
          <w:sz w:val="24"/>
          <w:szCs w:val="24"/>
          <w:color w:val="auto"/>
        </w:rPr>
      </w:pPr>
    </w:p>
    <w:p>
      <w:pPr>
        <w:spacing w:after="0" w:line="343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30"/>
          <w:szCs w:val="30"/>
          <w:color w:val="auto"/>
        </w:rPr>
        <w:t>支持单位</w:t>
      </w:r>
      <w:r>
        <w:rPr>
          <w:rFonts w:ascii="宋体" w:cs="宋体" w:eastAsia="宋体" w:hAnsi="宋体"/>
          <w:sz w:val="24"/>
          <w:szCs w:val="24"/>
          <w:color w:val="auto"/>
        </w:rPr>
        <w:t>:</w:t>
      </w:r>
    </w:p>
    <w:p>
      <w:pPr>
        <w:spacing w:after="0" w:line="163" w:lineRule="exact"/>
        <w:rPr>
          <w:sz w:val="24"/>
          <w:szCs w:val="24"/>
          <w:color w:val="auto"/>
        </w:rPr>
      </w:pPr>
    </w:p>
    <w:p>
      <w:pPr>
        <w:spacing w:after="0" w:line="274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4"/>
          <w:szCs w:val="24"/>
          <w:color w:val="auto"/>
        </w:rPr>
        <w:t>美国汽车制造商联盟</w:t>
      </w:r>
    </w:p>
    <w:p>
      <w:pPr>
        <w:spacing w:after="0" w:line="38" w:lineRule="exact"/>
        <w:rPr>
          <w:sz w:val="24"/>
          <w:szCs w:val="24"/>
          <w:color w:val="auto"/>
        </w:rPr>
      </w:pPr>
    </w:p>
    <w:p>
      <w:pPr>
        <w:spacing w:after="0" w:line="274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4"/>
          <w:szCs w:val="24"/>
          <w:color w:val="auto"/>
        </w:rPr>
        <w:t>欧洲汽车和工业电池制造商协会(EUROBAT)</w:t>
      </w:r>
    </w:p>
    <w:p>
      <w:pPr>
        <w:spacing w:after="0" w:line="38" w:lineRule="exact"/>
        <w:rPr>
          <w:sz w:val="24"/>
          <w:szCs w:val="24"/>
          <w:color w:val="auto"/>
        </w:rPr>
      </w:pPr>
    </w:p>
    <w:p>
      <w:pPr>
        <w:spacing w:after="0" w:line="274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4"/>
          <w:szCs w:val="24"/>
          <w:color w:val="auto"/>
        </w:rPr>
        <w:t>日本电池协会(BAJ)</w:t>
      </w:r>
    </w:p>
    <w:p>
      <w:pPr>
        <w:spacing w:after="0" w:line="38" w:lineRule="exact"/>
        <w:rPr>
          <w:sz w:val="24"/>
          <w:szCs w:val="24"/>
          <w:color w:val="auto"/>
        </w:rPr>
      </w:pPr>
    </w:p>
    <w:p>
      <w:pPr>
        <w:spacing w:after="0" w:line="274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4"/>
          <w:szCs w:val="24"/>
          <w:color w:val="auto"/>
        </w:rPr>
        <w:t>中国电子装备技术开发协会(CAEE)</w:t>
      </w:r>
    </w:p>
    <w:p>
      <w:pPr>
        <w:spacing w:after="0" w:line="38" w:lineRule="exact"/>
        <w:rPr>
          <w:sz w:val="24"/>
          <w:szCs w:val="24"/>
          <w:color w:val="auto"/>
        </w:rPr>
      </w:pPr>
    </w:p>
    <w:p>
      <w:pPr>
        <w:spacing w:after="0" w:line="274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4"/>
          <w:szCs w:val="24"/>
          <w:color w:val="auto"/>
        </w:rPr>
        <w:t>日本汽车制造协会(JAMA)</w:t>
      </w:r>
    </w:p>
    <w:p>
      <w:pPr>
        <w:spacing w:after="0" w:line="38" w:lineRule="exact"/>
        <w:rPr>
          <w:sz w:val="24"/>
          <w:szCs w:val="24"/>
          <w:color w:val="auto"/>
        </w:rPr>
      </w:pPr>
    </w:p>
    <w:p>
      <w:pPr>
        <w:spacing w:after="0" w:line="274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4"/>
          <w:szCs w:val="24"/>
          <w:color w:val="auto"/>
        </w:rPr>
        <w:t>日本汽车回收协会(JARA)</w:t>
      </w:r>
    </w:p>
    <w:p>
      <w:pPr>
        <w:spacing w:after="0" w:line="38" w:lineRule="exact"/>
        <w:rPr>
          <w:sz w:val="24"/>
          <w:szCs w:val="24"/>
          <w:color w:val="auto"/>
        </w:rPr>
      </w:pPr>
    </w:p>
    <w:p>
      <w:pPr>
        <w:spacing w:after="0" w:line="274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4"/>
          <w:szCs w:val="24"/>
          <w:color w:val="auto"/>
        </w:rPr>
        <w:t>美国废料再生工业协会 (ISRI)</w:t>
      </w:r>
    </w:p>
    <w:p>
      <w:pPr>
        <w:spacing w:after="0" w:line="38" w:lineRule="exact"/>
        <w:rPr>
          <w:sz w:val="24"/>
          <w:szCs w:val="24"/>
          <w:color w:val="auto"/>
        </w:rPr>
      </w:pPr>
    </w:p>
    <w:p>
      <w:pPr>
        <w:spacing w:after="0" w:line="274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4"/>
          <w:szCs w:val="24"/>
          <w:color w:val="auto"/>
        </w:rPr>
        <w:t>Pinfa 欧洲化学理事会(cefic)</w:t>
      </w:r>
    </w:p>
    <w:p>
      <w:pPr>
        <w:spacing w:after="0" w:line="39" w:lineRule="exact"/>
        <w:rPr>
          <w:sz w:val="24"/>
          <w:szCs w:val="24"/>
          <w:color w:val="auto"/>
        </w:rPr>
      </w:pPr>
    </w:p>
    <w:p>
      <w:pPr>
        <w:spacing w:after="0" w:line="274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4"/>
          <w:szCs w:val="24"/>
          <w:color w:val="auto"/>
        </w:rPr>
        <w:t>欧洲塑料协会（PlasticsEurope）</w:t>
      </w:r>
    </w:p>
    <w:p>
      <w:pPr>
        <w:spacing w:after="0" w:line="38" w:lineRule="exact"/>
        <w:rPr>
          <w:sz w:val="24"/>
          <w:szCs w:val="24"/>
          <w:color w:val="auto"/>
        </w:rPr>
      </w:pPr>
    </w:p>
    <w:p>
      <w:pPr>
        <w:spacing w:after="0" w:line="274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4"/>
          <w:szCs w:val="24"/>
          <w:color w:val="auto"/>
        </w:rPr>
        <w:t>瑞士驻日本大使馆</w:t>
      </w:r>
    </w:p>
    <w:p>
      <w:pPr>
        <w:spacing w:after="0" w:line="2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-5080</wp:posOffset>
            </wp:positionH>
            <wp:positionV relativeFrom="paragraph">
              <wp:posOffset>116205</wp:posOffset>
            </wp:positionV>
            <wp:extent cx="6203315" cy="121666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3315" cy="1216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41" w:orient="portrait"/>
          <w:cols w:equalWidth="0" w:num="1">
            <w:col w:w="9606"/>
          </w:cols>
          <w:pgMar w:left="860" w:top="670" w:right="1440" w:bottom="1440" w:gutter="0" w:footer="0" w:header="0"/>
        </w:sectPr>
      </w:pPr>
    </w:p>
    <w:bookmarkStart w:id="1" w:name="page2"/>
    <w:bookmarkEnd w:id="1"/>
    <w:p>
      <w:pPr>
        <w:spacing w:after="0" w:line="331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9"/>
          <w:szCs w:val="29"/>
          <w:color w:val="auto"/>
        </w:rPr>
        <w:t>理事会成员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156210</wp:posOffset>
            </wp:positionH>
            <wp:positionV relativeFrom="paragraph">
              <wp:posOffset>1905</wp:posOffset>
            </wp:positionV>
            <wp:extent cx="6149975" cy="993775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9975" cy="9937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41" w:orient="portrait"/>
          <w:cols w:equalWidth="0" w:num="1">
            <w:col w:w="9606"/>
          </w:cols>
          <w:pgMar w:left="860" w:top="695" w:right="1440" w:bottom="1440" w:gutter="0" w:footer="0" w:header="0"/>
        </w:sectPr>
      </w:pPr>
    </w:p>
    <w:bookmarkStart w:id="2" w:name="page3"/>
    <w:bookmarkEnd w:id="2"/>
    <w:p>
      <w:pPr>
        <w:ind w:left="80"/>
        <w:spacing w:after="0" w:line="343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30"/>
          <w:szCs w:val="30"/>
          <w:color w:val="auto"/>
        </w:rPr>
        <w:t>CONFERENCE PROGRAM 会议日程</w:t>
      </w:r>
    </w:p>
    <w:p>
      <w:pPr>
        <w:spacing w:after="0" w:line="163" w:lineRule="exact"/>
        <w:rPr>
          <w:sz w:val="20"/>
          <w:szCs w:val="20"/>
          <w:color w:val="auto"/>
        </w:rPr>
      </w:pPr>
    </w:p>
    <w:p>
      <w:pPr>
        <w:ind w:left="80"/>
        <w:spacing w:after="0" w:line="274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4"/>
          <w:szCs w:val="24"/>
          <w:b w:val="1"/>
          <w:bCs w:val="1"/>
          <w:color w:val="auto"/>
        </w:rPr>
        <w:t>2019 年 7 月 1 日（星期一）议程安排</w:t>
      </w:r>
    </w:p>
    <w:p>
      <w:pPr>
        <w:spacing w:after="0" w:line="225" w:lineRule="exact"/>
        <w:rPr>
          <w:sz w:val="20"/>
          <w:szCs w:val="20"/>
          <w:color w:val="auto"/>
        </w:rPr>
      </w:pPr>
    </w:p>
    <w:p>
      <w:pPr>
        <w:ind w:left="120"/>
        <w:spacing w:after="0" w:line="274" w:lineRule="exact"/>
        <w:tabs>
          <w:tab w:leader="none" w:pos="1800" w:val="left"/>
        </w:tabs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4"/>
          <w:szCs w:val="24"/>
          <w:color w:val="auto"/>
        </w:rPr>
        <w:t>07.30-09.00</w:t>
      </w:r>
      <w:r>
        <w:rPr>
          <w:sz w:val="20"/>
          <w:szCs w:val="20"/>
          <w:color w:val="auto"/>
        </w:rPr>
        <w:tab/>
      </w:r>
      <w:r>
        <w:rPr>
          <w:rFonts w:ascii="宋体" w:cs="宋体" w:eastAsia="宋体" w:hAnsi="宋体"/>
          <w:sz w:val="23"/>
          <w:szCs w:val="23"/>
          <w:color w:val="auto"/>
        </w:rPr>
        <w:t>会议注册</w:t>
      </w:r>
    </w:p>
    <w:p>
      <w:pPr>
        <w:spacing w:after="0" w:line="139" w:lineRule="exact"/>
        <w:rPr>
          <w:sz w:val="20"/>
          <w:szCs w:val="20"/>
          <w:color w:val="auto"/>
        </w:rPr>
      </w:pPr>
    </w:p>
    <w:p>
      <w:pPr>
        <w:ind w:left="120"/>
        <w:spacing w:after="0" w:line="274" w:lineRule="exact"/>
        <w:tabs>
          <w:tab w:leader="none" w:pos="1800" w:val="left"/>
        </w:tabs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4"/>
          <w:szCs w:val="24"/>
          <w:color w:val="auto"/>
        </w:rPr>
        <w:t>12.00-14.00</w:t>
      </w:r>
      <w:r>
        <w:rPr>
          <w:sz w:val="20"/>
          <w:szCs w:val="20"/>
          <w:color w:val="auto"/>
        </w:rPr>
        <w:tab/>
      </w:r>
      <w:r>
        <w:rPr>
          <w:rFonts w:ascii="宋体" w:cs="宋体" w:eastAsia="宋体" w:hAnsi="宋体"/>
          <w:sz w:val="23"/>
          <w:szCs w:val="23"/>
          <w:color w:val="auto"/>
        </w:rPr>
        <w:t>会议注册</w:t>
      </w:r>
    </w:p>
    <w:p>
      <w:pPr>
        <w:spacing w:after="0" w:line="281" w:lineRule="exact"/>
        <w:rPr>
          <w:sz w:val="20"/>
          <w:szCs w:val="20"/>
          <w:color w:val="auto"/>
        </w:rPr>
      </w:pPr>
    </w:p>
    <w:p>
      <w:pPr>
        <w:ind w:left="120"/>
        <w:spacing w:after="0" w:line="274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4"/>
          <w:szCs w:val="24"/>
          <w:b w:val="1"/>
          <w:bCs w:val="1"/>
          <w:color w:val="auto"/>
        </w:rPr>
        <w:t>辅助活动研讨会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92075</wp:posOffset>
                </wp:positionV>
                <wp:extent cx="6977380" cy="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7738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" o:spid="_x0000_s102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pt,7.25pt" to="549.4pt,7.25pt" o:allowincell="f" strokecolor="#000000" strokeweight="0.48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1193165</wp:posOffset>
                </wp:positionV>
                <wp:extent cx="6977380" cy="0"/>
                <wp:wrapNone/>
                <wp:docPr id="5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7738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" o:spid="_x0000_s103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pt,93.95pt" to="549.4pt,93.95pt" o:allowincell="f" strokecolor="#000000" strokeweight="0.4799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3175</wp:posOffset>
                </wp:positionH>
                <wp:positionV relativeFrom="paragraph">
                  <wp:posOffset>88900</wp:posOffset>
                </wp:positionV>
                <wp:extent cx="0" cy="2496820"/>
                <wp:wrapNone/>
                <wp:docPr id="6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249682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" o:spid="_x0000_s103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.25pt,7pt" to="0.25pt,203.6pt" o:allowincell="f" strokecolor="#000000" strokeweight="0.4799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1085850</wp:posOffset>
                </wp:positionH>
                <wp:positionV relativeFrom="paragraph">
                  <wp:posOffset>88900</wp:posOffset>
                </wp:positionV>
                <wp:extent cx="0" cy="2496820"/>
                <wp:wrapNone/>
                <wp:docPr id="7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249682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7" o:spid="_x0000_s103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85.5pt,7pt" to="85.5pt,203.6pt" o:allowincell="f" strokecolor="#000000" strokeweight="0.4799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6974205</wp:posOffset>
                </wp:positionH>
                <wp:positionV relativeFrom="paragraph">
                  <wp:posOffset>88900</wp:posOffset>
                </wp:positionV>
                <wp:extent cx="0" cy="2496820"/>
                <wp:wrapNone/>
                <wp:docPr id="8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249682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8" o:spid="_x0000_s103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549.15pt,7pt" to="549.15pt,203.6pt" o:allowincell="f" strokecolor="#000000" strokeweight="0.48pt"/>
            </w:pict>
          </mc:Fallback>
        </mc:AlternateContent>
      </w:r>
    </w:p>
    <w:p>
      <w:pPr>
        <w:spacing w:after="0" w:line="129" w:lineRule="exact"/>
        <w:rPr>
          <w:sz w:val="20"/>
          <w:szCs w:val="20"/>
          <w:color w:val="auto"/>
        </w:rPr>
      </w:pPr>
    </w:p>
    <w:p>
      <w:pPr>
        <w:ind w:left="1820"/>
        <w:spacing w:after="0" w:line="274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4"/>
          <w:szCs w:val="24"/>
          <w:b w:val="1"/>
          <w:bCs w:val="1"/>
          <w:color w:val="auto"/>
        </w:rPr>
        <w:t>如何处理缺陷或不稳定的锂高压汽车蓄电池</w:t>
      </w:r>
    </w:p>
    <w:p>
      <w:pPr>
        <w:spacing w:after="0" w:line="38" w:lineRule="exact"/>
        <w:rPr>
          <w:sz w:val="20"/>
          <w:szCs w:val="20"/>
          <w:color w:val="auto"/>
        </w:rPr>
      </w:pPr>
    </w:p>
    <w:p>
      <w:pPr>
        <w:ind w:left="1820"/>
        <w:spacing w:after="0" w:line="274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4"/>
          <w:szCs w:val="24"/>
          <w:color w:val="auto"/>
        </w:rPr>
        <w:t>主持人：Andreas Krebs, BLUBOX, 瑞士</w:t>
      </w:r>
    </w:p>
    <w:p>
      <w:pPr>
        <w:spacing w:after="0" w:line="73" w:lineRule="exact"/>
        <w:rPr>
          <w:sz w:val="20"/>
          <w:szCs w:val="20"/>
          <w:color w:val="auto"/>
        </w:rPr>
      </w:pPr>
    </w:p>
    <w:p>
      <w:pPr>
        <w:jc w:val="both"/>
        <w:ind w:left="120" w:right="100" w:firstLine="1702"/>
        <w:spacing w:after="0" w:line="274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4"/>
          <w:szCs w:val="24"/>
          <w:color w:val="auto"/>
        </w:rPr>
        <w:t>来自德国联邦地球科学研究院和德国矿产资源管理局的 Michael Schmidt 介绍锂电池 09:00-12:00 市场和汽车工业的需求；来自瑞士的 Andreas Kreb 介绍受损电动汽车的储存和抢救，</w:t>
      </w:r>
    </w:p>
    <w:p>
      <w:pPr>
        <w:spacing w:after="0" w:line="40" w:lineRule="exact"/>
        <w:rPr>
          <w:sz w:val="20"/>
          <w:szCs w:val="20"/>
          <w:color w:val="auto"/>
        </w:rPr>
      </w:pPr>
    </w:p>
    <w:p>
      <w:pPr>
        <w:ind w:left="1820"/>
        <w:spacing w:after="0" w:line="274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4"/>
          <w:szCs w:val="24"/>
          <w:color w:val="auto"/>
        </w:rPr>
        <w:t>救火，以及危险零件的救助和储存。（备注：所有参与者将获得出席证书。）</w:t>
      </w:r>
    </w:p>
    <w:p>
      <w:pPr>
        <w:spacing w:after="0" w:line="213" w:lineRule="exact"/>
        <w:rPr>
          <w:sz w:val="20"/>
          <w:szCs w:val="20"/>
          <w:color w:val="auto"/>
        </w:rPr>
      </w:pPr>
    </w:p>
    <w:p>
      <w:pPr>
        <w:ind w:left="1820"/>
        <w:spacing w:after="0" w:line="274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4"/>
          <w:szCs w:val="24"/>
          <w:b w:val="1"/>
          <w:bCs w:val="1"/>
          <w:color w:val="auto"/>
        </w:rPr>
        <w:t>日本电子交通、汽车塑料的消防安全挑战</w:t>
      </w:r>
    </w:p>
    <w:p>
      <w:pPr>
        <w:spacing w:after="0" w:line="38" w:lineRule="exact"/>
        <w:rPr>
          <w:sz w:val="20"/>
          <w:szCs w:val="20"/>
          <w:color w:val="auto"/>
        </w:rPr>
      </w:pPr>
    </w:p>
    <w:p>
      <w:pPr>
        <w:ind w:left="1820"/>
        <w:spacing w:after="0" w:line="274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4"/>
          <w:szCs w:val="24"/>
          <w:color w:val="auto"/>
        </w:rPr>
        <w:t>主持人：Jonathan Crozier, 磷氮无机阻燃剂协会欧洲化学理事会（cefic），比利时</w:t>
      </w:r>
    </w:p>
    <w:p>
      <w:pPr>
        <w:spacing w:after="0" w:line="73" w:lineRule="exact"/>
        <w:rPr>
          <w:sz w:val="20"/>
          <w:szCs w:val="20"/>
          <w:color w:val="auto"/>
        </w:rPr>
      </w:pPr>
    </w:p>
    <w:p>
      <w:pPr>
        <w:jc w:val="both"/>
        <w:ind w:left="1820" w:right="100" w:hanging="1701"/>
        <w:spacing w:after="0" w:line="296" w:lineRule="exact"/>
        <w:tabs>
          <w:tab w:leader="none" w:pos="1800" w:val="left"/>
        </w:tabs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4"/>
          <w:szCs w:val="24"/>
          <w:color w:val="auto"/>
        </w:rPr>
        <w:t>14:00-17:30</w:t>
      </w:r>
      <w:r>
        <w:rPr>
          <w:sz w:val="20"/>
          <w:szCs w:val="20"/>
          <w:color w:val="auto"/>
        </w:rPr>
        <w:tab/>
      </w:r>
      <w:r>
        <w:rPr>
          <w:rFonts w:ascii="宋体" w:cs="宋体" w:eastAsia="宋体" w:hAnsi="宋体"/>
          <w:sz w:val="24"/>
          <w:szCs w:val="24"/>
          <w:color w:val="auto"/>
        </w:rPr>
        <w:t>来自 Adeka，Clariant，Dupont 和汽车制造商的演讲将解决材料防火及其回收的现有挑战。通过此次研讨会，磷氮无机阻燃剂协会旨在将日本电动汽车行业的价值链整合到一起:一级供应商，原始设备制造商，汽车制造商，塑料复合生产商，磷氮无机阻燃剂协会成员，防火测试实验室和材料防火安全学术专家。（备注：所有参与者将获得出席证书。）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31115</wp:posOffset>
                </wp:positionV>
                <wp:extent cx="6977380" cy="0"/>
                <wp:wrapNone/>
                <wp:docPr id="9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7738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9" o:spid="_x0000_s103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pt,2.45pt" to="549.4pt,2.45pt" o:allowincell="f" strokecolor="#000000" strokeweight="0.4799pt"/>
            </w:pict>
          </mc:Fallback>
        </mc:AlternateContent>
      </w:r>
    </w:p>
    <w:p>
      <w:pPr>
        <w:spacing w:after="0" w:line="345" w:lineRule="exact"/>
        <w:rPr>
          <w:sz w:val="20"/>
          <w:szCs w:val="20"/>
          <w:color w:val="auto"/>
        </w:rPr>
      </w:pPr>
    </w:p>
    <w:p>
      <w:pPr>
        <w:ind w:left="120"/>
        <w:spacing w:after="0" w:line="274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4"/>
          <w:szCs w:val="24"/>
          <w:b w:val="1"/>
          <w:bCs w:val="1"/>
          <w:color w:val="auto"/>
        </w:rPr>
        <w:t>工厂参观考察路线一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3175</wp:posOffset>
                </wp:positionH>
                <wp:positionV relativeFrom="paragraph">
                  <wp:posOffset>23495</wp:posOffset>
                </wp:positionV>
                <wp:extent cx="0" cy="3083560"/>
                <wp:wrapNone/>
                <wp:docPr id="10" name="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308356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0" o:spid="_x0000_s103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.25pt,1.85pt" to="0.25pt,244.65pt" o:allowincell="f" strokecolor="#000000" strokeweight="0.4799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6974205</wp:posOffset>
                </wp:positionH>
                <wp:positionV relativeFrom="paragraph">
                  <wp:posOffset>23495</wp:posOffset>
                </wp:positionV>
                <wp:extent cx="0" cy="3083560"/>
                <wp:wrapNone/>
                <wp:docPr id="11" name="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308356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1" o:spid="_x0000_s103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549.15pt,1.85pt" to="549.15pt,244.65pt" o:allowincell="f" strokecolor="#000000" strokeweight="0.48pt"/>
            </w:pict>
          </mc:Fallback>
        </mc:AlternateContent>
      </w:r>
    </w:p>
    <w:tbl>
      <w:tblPr>
        <w:tblLayout w:type="fixed"/>
        <w:tblInd w:w="0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284"/>
        </w:trPr>
        <w:tc>
          <w:tcPr>
            <w:tcW w:w="1720" w:type="dxa"/>
            <w:vAlign w:val="bottom"/>
            <w:tcBorders>
              <w:top w:val="single" w:sz="8" w:color="auto"/>
              <w:right w:val="single" w:sz="8" w:color="auto"/>
            </w:tcBorders>
          </w:tcPr>
          <w:p>
            <w:pPr>
              <w:ind w:left="12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08:15</w:t>
            </w:r>
          </w:p>
        </w:tc>
        <w:tc>
          <w:tcPr>
            <w:tcW w:w="9260" w:type="dxa"/>
            <w:vAlign w:val="bottom"/>
            <w:tcBorders>
              <w:top w:val="single" w:sz="8" w:color="auto"/>
            </w:tcBorders>
          </w:tcPr>
          <w:p>
            <w:pPr>
              <w:ind w:left="10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从东京威斯汀酒店乘坐巴士前往千叶县富津市</w:t>
            </w:r>
          </w:p>
        </w:tc>
      </w:tr>
      <w:tr>
        <w:trPr>
          <w:trHeight w:val="38"/>
        </w:trPr>
        <w:tc>
          <w:tcPr>
            <w:tcW w:w="17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926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</w:tr>
      <w:tr>
        <w:trPr>
          <w:trHeight w:val="262"/>
        </w:trPr>
        <w:tc>
          <w:tcPr>
            <w:tcW w:w="1720" w:type="dxa"/>
            <w:vAlign w:val="bottom"/>
            <w:tcBorders>
              <w:right w:val="single" w:sz="8" w:color="auto"/>
            </w:tcBorders>
          </w:tcPr>
          <w:p>
            <w:pPr>
              <w:ind w:left="12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09:45</w:t>
            </w:r>
          </w:p>
        </w:tc>
        <w:tc>
          <w:tcPr>
            <w:tcW w:w="9260" w:type="dxa"/>
            <w:vAlign w:val="bottom"/>
          </w:tcPr>
          <w:p>
            <w:pPr>
              <w:ind w:left="10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到达</w:t>
            </w:r>
          </w:p>
        </w:tc>
      </w:tr>
      <w:tr>
        <w:trPr>
          <w:trHeight w:val="40"/>
        </w:trPr>
        <w:tc>
          <w:tcPr>
            <w:tcW w:w="17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926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</w:tr>
      <w:tr>
        <w:trPr>
          <w:trHeight w:val="262"/>
        </w:trPr>
        <w:tc>
          <w:tcPr>
            <w:tcW w:w="1720" w:type="dxa"/>
            <w:vAlign w:val="bottom"/>
            <w:tcBorders>
              <w:right w:val="single" w:sz="8" w:color="auto"/>
            </w:tcBorders>
          </w:tcPr>
          <w:p>
            <w:pPr>
              <w:ind w:left="12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10:00-11:00</w:t>
            </w:r>
          </w:p>
        </w:tc>
        <w:tc>
          <w:tcPr>
            <w:tcW w:w="9260" w:type="dxa"/>
            <w:vAlign w:val="bottom"/>
          </w:tcPr>
          <w:p>
            <w:pPr>
              <w:ind w:left="10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参观东日本回收资源有限公司（EARC）的汽车拆解工厂</w:t>
            </w:r>
          </w:p>
        </w:tc>
      </w:tr>
      <w:tr>
        <w:trPr>
          <w:trHeight w:val="40"/>
        </w:trPr>
        <w:tc>
          <w:tcPr>
            <w:tcW w:w="17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926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</w:tr>
      <w:tr>
        <w:trPr>
          <w:trHeight w:val="262"/>
        </w:trPr>
        <w:tc>
          <w:tcPr>
            <w:tcW w:w="1720" w:type="dxa"/>
            <w:vAlign w:val="bottom"/>
            <w:tcBorders>
              <w:right w:val="single" w:sz="8" w:color="auto"/>
            </w:tcBorders>
          </w:tcPr>
          <w:p>
            <w:pPr>
              <w:ind w:left="12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11:00</w:t>
            </w:r>
          </w:p>
        </w:tc>
        <w:tc>
          <w:tcPr>
            <w:tcW w:w="9260" w:type="dxa"/>
            <w:vAlign w:val="bottom"/>
          </w:tcPr>
          <w:p>
            <w:pPr>
              <w:ind w:left="10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乘坐巴士前往凤凰金属公司（Rever 集团的粉碎厂）</w:t>
            </w:r>
          </w:p>
        </w:tc>
      </w:tr>
      <w:tr>
        <w:trPr>
          <w:trHeight w:val="40"/>
        </w:trPr>
        <w:tc>
          <w:tcPr>
            <w:tcW w:w="17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926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</w:tr>
      <w:tr>
        <w:trPr>
          <w:trHeight w:val="262"/>
        </w:trPr>
        <w:tc>
          <w:tcPr>
            <w:tcW w:w="1720" w:type="dxa"/>
            <w:vAlign w:val="bottom"/>
            <w:tcBorders>
              <w:right w:val="single" w:sz="8" w:color="auto"/>
            </w:tcBorders>
          </w:tcPr>
          <w:p>
            <w:pPr>
              <w:ind w:left="12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12:30-13:30</w:t>
            </w:r>
          </w:p>
        </w:tc>
        <w:tc>
          <w:tcPr>
            <w:tcW w:w="9260" w:type="dxa"/>
            <w:vAlign w:val="bottom"/>
          </w:tcPr>
          <w:p>
            <w:pPr>
              <w:ind w:left="10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到达，午餐</w:t>
            </w:r>
          </w:p>
        </w:tc>
      </w:tr>
      <w:tr>
        <w:trPr>
          <w:trHeight w:val="40"/>
        </w:trPr>
        <w:tc>
          <w:tcPr>
            <w:tcW w:w="17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926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</w:tr>
      <w:tr>
        <w:trPr>
          <w:trHeight w:val="262"/>
        </w:trPr>
        <w:tc>
          <w:tcPr>
            <w:tcW w:w="1720" w:type="dxa"/>
            <w:vAlign w:val="bottom"/>
            <w:tcBorders>
              <w:right w:val="single" w:sz="8" w:color="auto"/>
            </w:tcBorders>
          </w:tcPr>
          <w:p>
            <w:pPr>
              <w:ind w:left="12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13:30-1500</w:t>
            </w:r>
          </w:p>
        </w:tc>
        <w:tc>
          <w:tcPr>
            <w:tcW w:w="9260" w:type="dxa"/>
            <w:vAlign w:val="bottom"/>
          </w:tcPr>
          <w:p>
            <w:pPr>
              <w:ind w:left="10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参观凤凰金属公司（Rever 集团的粉碎厂）</w:t>
            </w:r>
          </w:p>
        </w:tc>
      </w:tr>
      <w:tr>
        <w:trPr>
          <w:trHeight w:val="38"/>
        </w:trPr>
        <w:tc>
          <w:tcPr>
            <w:tcW w:w="17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926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</w:tr>
      <w:tr>
        <w:trPr>
          <w:trHeight w:val="264"/>
        </w:trPr>
        <w:tc>
          <w:tcPr>
            <w:tcW w:w="1720" w:type="dxa"/>
            <w:vAlign w:val="bottom"/>
            <w:tcBorders>
              <w:right w:val="single" w:sz="8" w:color="auto"/>
            </w:tcBorders>
          </w:tcPr>
          <w:p>
            <w:pPr>
              <w:ind w:left="120"/>
              <w:spacing w:after="0" w:line="26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17:00</w:t>
            </w:r>
          </w:p>
        </w:tc>
        <w:tc>
          <w:tcPr>
            <w:tcW w:w="9260" w:type="dxa"/>
            <w:vAlign w:val="bottom"/>
          </w:tcPr>
          <w:p>
            <w:pPr>
              <w:ind w:left="100"/>
              <w:spacing w:after="0" w:line="26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到达东京威斯汀酒店</w:t>
            </w:r>
          </w:p>
        </w:tc>
      </w:tr>
      <w:tr>
        <w:trPr>
          <w:trHeight w:val="38"/>
        </w:trPr>
        <w:tc>
          <w:tcPr>
            <w:tcW w:w="17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926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</w:tr>
    </w:tbl>
    <w:p>
      <w:pPr>
        <w:spacing w:after="0" w:line="36" w:lineRule="exact"/>
        <w:rPr>
          <w:sz w:val="20"/>
          <w:szCs w:val="20"/>
          <w:color w:val="auto"/>
        </w:rPr>
      </w:pPr>
    </w:p>
    <w:p>
      <w:pPr>
        <w:jc w:val="both"/>
        <w:ind w:left="120" w:right="100"/>
        <w:spacing w:after="0" w:line="287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4"/>
          <w:szCs w:val="24"/>
          <w:b w:val="1"/>
          <w:bCs w:val="1"/>
          <w:color w:val="auto"/>
        </w:rPr>
        <w:t>日本回收资源有限公司（EARC）</w:t>
      </w:r>
      <w:r>
        <w:rPr>
          <w:rFonts w:ascii="宋体" w:cs="宋体" w:eastAsia="宋体" w:hAnsi="宋体"/>
          <w:sz w:val="24"/>
          <w:szCs w:val="24"/>
          <w:color w:val="auto"/>
        </w:rPr>
        <w:t>成立于</w:t>
      </w:r>
      <w:r>
        <w:rPr>
          <w:rFonts w:ascii="宋体" w:cs="宋体" w:eastAsia="宋体" w:hAnsi="宋体"/>
          <w:sz w:val="24"/>
          <w:szCs w:val="24"/>
          <w:b w:val="1"/>
          <w:bCs w:val="1"/>
          <w:color w:val="auto"/>
        </w:rPr>
        <w:t xml:space="preserve"> </w:t>
      </w:r>
      <w:r>
        <w:rPr>
          <w:rFonts w:ascii="宋体" w:cs="宋体" w:eastAsia="宋体" w:hAnsi="宋体"/>
          <w:sz w:val="24"/>
          <w:szCs w:val="24"/>
          <w:color w:val="auto"/>
        </w:rPr>
        <w:t>2005</w:t>
      </w:r>
      <w:r>
        <w:rPr>
          <w:rFonts w:ascii="宋体" w:cs="宋体" w:eastAsia="宋体" w:hAnsi="宋体"/>
          <w:sz w:val="24"/>
          <w:szCs w:val="24"/>
          <w:b w:val="1"/>
          <w:bCs w:val="1"/>
          <w:color w:val="auto"/>
        </w:rPr>
        <w:t xml:space="preserve"> </w:t>
      </w:r>
      <w:r>
        <w:rPr>
          <w:rFonts w:ascii="宋体" w:cs="宋体" w:eastAsia="宋体" w:hAnsi="宋体"/>
          <w:sz w:val="24"/>
          <w:szCs w:val="24"/>
          <w:color w:val="auto"/>
        </w:rPr>
        <w:t>年，由</w:t>
      </w:r>
      <w:r>
        <w:rPr>
          <w:rFonts w:ascii="宋体" w:cs="宋体" w:eastAsia="宋体" w:hAnsi="宋体"/>
          <w:sz w:val="24"/>
          <w:szCs w:val="24"/>
          <w:b w:val="1"/>
          <w:bCs w:val="1"/>
          <w:color w:val="auto"/>
        </w:rPr>
        <w:t xml:space="preserve"> </w:t>
      </w:r>
      <w:r>
        <w:rPr>
          <w:rFonts w:ascii="宋体" w:cs="宋体" w:eastAsia="宋体" w:hAnsi="宋体"/>
          <w:sz w:val="24"/>
          <w:szCs w:val="24"/>
          <w:color w:val="auto"/>
        </w:rPr>
        <w:t>Yoshi-kawa Kogyo</w:t>
      </w:r>
      <w:r>
        <w:rPr>
          <w:rFonts w:ascii="宋体" w:cs="宋体" w:eastAsia="宋体" w:hAnsi="宋体"/>
          <w:sz w:val="24"/>
          <w:szCs w:val="24"/>
          <w:b w:val="1"/>
          <w:bCs w:val="1"/>
          <w:color w:val="auto"/>
        </w:rPr>
        <w:t xml:space="preserve"> </w:t>
      </w:r>
      <w:r>
        <w:rPr>
          <w:rFonts w:ascii="宋体" w:cs="宋体" w:eastAsia="宋体" w:hAnsi="宋体"/>
          <w:sz w:val="24"/>
          <w:szCs w:val="24"/>
          <w:color w:val="auto"/>
        </w:rPr>
        <w:t>有限公司和日本钢铁集团创建成立，自日本汽车回收法生效时起，EARC 开发了独特的详细拆解系统，为 NSSMC 的优质钢材提供原材料，并推广回收汽车零件。</w:t>
      </w:r>
    </w:p>
    <w:p>
      <w:pPr>
        <w:spacing w:after="0" w:line="78" w:lineRule="exact"/>
        <w:rPr>
          <w:sz w:val="20"/>
          <w:szCs w:val="20"/>
          <w:color w:val="auto"/>
        </w:rPr>
      </w:pPr>
    </w:p>
    <w:p>
      <w:pPr>
        <w:jc w:val="both"/>
        <w:ind w:left="120" w:right="100"/>
        <w:spacing w:after="0" w:line="286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0"/>
          <w:szCs w:val="20"/>
          <w:b w:val="1"/>
          <w:bCs w:val="1"/>
          <w:i w:val="1"/>
          <w:iCs w:val="1"/>
          <w:color w:val="auto"/>
        </w:rPr>
        <w:t>R</w:t>
      </w:r>
      <w:r>
        <w:rPr>
          <w:rFonts w:ascii="宋体" w:cs="宋体" w:eastAsia="宋体" w:hAnsi="宋体"/>
          <w:sz w:val="24"/>
          <w:szCs w:val="24"/>
          <w:b w:val="1"/>
          <w:bCs w:val="1"/>
          <w:color w:val="auto"/>
        </w:rPr>
        <w:t>ever</w:t>
      </w:r>
      <w:r>
        <w:rPr>
          <w:rFonts w:ascii="宋体" w:cs="宋体" w:eastAsia="宋体" w:hAnsi="宋体"/>
          <w:sz w:val="20"/>
          <w:szCs w:val="20"/>
          <w:b w:val="1"/>
          <w:bCs w:val="1"/>
          <w:i w:val="1"/>
          <w:iCs w:val="1"/>
          <w:color w:val="auto"/>
        </w:rPr>
        <w:t xml:space="preserve"> </w:t>
      </w:r>
      <w:r>
        <w:rPr>
          <w:rFonts w:ascii="宋体" w:cs="宋体" w:eastAsia="宋体" w:hAnsi="宋体"/>
          <w:sz w:val="24"/>
          <w:szCs w:val="24"/>
          <w:b w:val="1"/>
          <w:bCs w:val="1"/>
          <w:color w:val="auto"/>
        </w:rPr>
        <w:t>控股公司</w:t>
      </w:r>
      <w:r>
        <w:rPr>
          <w:rFonts w:ascii="宋体" w:cs="宋体" w:eastAsia="宋体" w:hAnsi="宋体"/>
          <w:sz w:val="24"/>
          <w:szCs w:val="24"/>
          <w:color w:val="auto"/>
        </w:rPr>
        <w:t>是八家集团公司的控股公司，在日本关东地区拥有</w:t>
      </w:r>
      <w:r>
        <w:rPr>
          <w:rFonts w:ascii="宋体" w:cs="宋体" w:eastAsia="宋体" w:hAnsi="宋体"/>
          <w:sz w:val="20"/>
          <w:szCs w:val="20"/>
          <w:b w:val="1"/>
          <w:bCs w:val="1"/>
          <w:i w:val="1"/>
          <w:iCs w:val="1"/>
          <w:color w:val="auto"/>
        </w:rPr>
        <w:t xml:space="preserve"> </w:t>
      </w:r>
      <w:r>
        <w:rPr>
          <w:rFonts w:ascii="宋体" w:cs="宋体" w:eastAsia="宋体" w:hAnsi="宋体"/>
          <w:sz w:val="24"/>
          <w:szCs w:val="24"/>
          <w:color w:val="auto"/>
        </w:rPr>
        <w:t>20</w:t>
      </w:r>
      <w:r>
        <w:rPr>
          <w:rFonts w:ascii="宋体" w:cs="宋体" w:eastAsia="宋体" w:hAnsi="宋体"/>
          <w:sz w:val="20"/>
          <w:szCs w:val="20"/>
          <w:b w:val="1"/>
          <w:bCs w:val="1"/>
          <w:i w:val="1"/>
          <w:iCs w:val="1"/>
          <w:color w:val="auto"/>
        </w:rPr>
        <w:t xml:space="preserve"> </w:t>
      </w:r>
      <w:r>
        <w:rPr>
          <w:rFonts w:ascii="宋体" w:cs="宋体" w:eastAsia="宋体" w:hAnsi="宋体"/>
          <w:sz w:val="24"/>
          <w:szCs w:val="24"/>
          <w:color w:val="auto"/>
        </w:rPr>
        <w:t>多家工厂，从事各种回收和废物处理工艺，尤其致力于废金属的回收与处理。集团起源于成立于 1904 年的 Suzutoku 有限公司，是日本回收行业最有经验的公司之一。</w:t>
      </w:r>
    </w:p>
    <w:p>
      <w:pPr>
        <w:spacing w:after="0" w:line="78" w:lineRule="exact"/>
        <w:rPr>
          <w:sz w:val="20"/>
          <w:szCs w:val="20"/>
          <w:color w:val="auto"/>
        </w:rPr>
      </w:pPr>
    </w:p>
    <w:p>
      <w:pPr>
        <w:jc w:val="both"/>
        <w:ind w:left="120" w:right="100"/>
        <w:spacing w:after="0" w:line="273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4"/>
          <w:szCs w:val="24"/>
          <w:b w:val="1"/>
          <w:bCs w:val="1"/>
          <w:color w:val="auto"/>
        </w:rPr>
        <w:t>凤凰金属公司</w:t>
      </w:r>
      <w:r>
        <w:rPr>
          <w:rFonts w:ascii="宋体" w:cs="宋体" w:eastAsia="宋体" w:hAnsi="宋体"/>
          <w:sz w:val="24"/>
          <w:szCs w:val="24"/>
          <w:color w:val="auto"/>
        </w:rPr>
        <w:t>成立于</w:t>
      </w:r>
      <w:r>
        <w:rPr>
          <w:rFonts w:ascii="宋体" w:cs="宋体" w:eastAsia="宋体" w:hAnsi="宋体"/>
          <w:sz w:val="24"/>
          <w:szCs w:val="24"/>
          <w:b w:val="1"/>
          <w:bCs w:val="1"/>
          <w:color w:val="auto"/>
        </w:rPr>
        <w:t xml:space="preserve"> </w:t>
      </w:r>
      <w:r>
        <w:rPr>
          <w:rFonts w:ascii="宋体" w:cs="宋体" w:eastAsia="宋体" w:hAnsi="宋体"/>
          <w:sz w:val="24"/>
          <w:szCs w:val="24"/>
          <w:color w:val="auto"/>
        </w:rPr>
        <w:t>1904</w:t>
      </w:r>
      <w:r>
        <w:rPr>
          <w:rFonts w:ascii="宋体" w:cs="宋体" w:eastAsia="宋体" w:hAnsi="宋体"/>
          <w:sz w:val="24"/>
          <w:szCs w:val="24"/>
          <w:b w:val="1"/>
          <w:bCs w:val="1"/>
          <w:color w:val="auto"/>
        </w:rPr>
        <w:t xml:space="preserve"> </w:t>
      </w:r>
      <w:r>
        <w:rPr>
          <w:rFonts w:ascii="宋体" w:cs="宋体" w:eastAsia="宋体" w:hAnsi="宋体"/>
          <w:sz w:val="24"/>
          <w:szCs w:val="24"/>
          <w:color w:val="auto"/>
        </w:rPr>
        <w:t>年，起源于</w:t>
      </w:r>
      <w:r>
        <w:rPr>
          <w:rFonts w:ascii="宋体" w:cs="宋体" w:eastAsia="宋体" w:hAnsi="宋体"/>
          <w:sz w:val="24"/>
          <w:szCs w:val="24"/>
          <w:b w:val="1"/>
          <w:bCs w:val="1"/>
          <w:color w:val="auto"/>
        </w:rPr>
        <w:t xml:space="preserve"> </w:t>
      </w:r>
      <w:r>
        <w:rPr>
          <w:rFonts w:ascii="宋体" w:cs="宋体" w:eastAsia="宋体" w:hAnsi="宋体"/>
          <w:sz w:val="24"/>
          <w:szCs w:val="24"/>
          <w:color w:val="auto"/>
        </w:rPr>
        <w:t>Suzutoku</w:t>
      </w:r>
      <w:r>
        <w:rPr>
          <w:rFonts w:ascii="宋体" w:cs="宋体" w:eastAsia="宋体" w:hAnsi="宋体"/>
          <w:sz w:val="24"/>
          <w:szCs w:val="24"/>
          <w:b w:val="1"/>
          <w:bCs w:val="1"/>
          <w:color w:val="auto"/>
        </w:rPr>
        <w:t xml:space="preserve"> </w:t>
      </w:r>
      <w:r>
        <w:rPr>
          <w:rFonts w:ascii="宋体" w:cs="宋体" w:eastAsia="宋体" w:hAnsi="宋体"/>
          <w:sz w:val="24"/>
          <w:szCs w:val="24"/>
          <w:color w:val="auto"/>
        </w:rPr>
        <w:t>公司。是日本最大的金属粉碎厂之一的业主。公司参与业务包括回收黑色金属和有色金属，工业废物和家庭用品。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89535</wp:posOffset>
                </wp:positionV>
                <wp:extent cx="6977380" cy="0"/>
                <wp:wrapNone/>
                <wp:docPr id="12" name="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7738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2" o:spid="_x0000_s103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pt,7.05pt" to="549.4pt,7.05pt" o:allowincell="f" strokecolor="#000000" strokeweight="0.48pt"/>
            </w:pict>
          </mc:Fallback>
        </mc:AlternateConten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34" w:lineRule="exact"/>
        <w:rPr>
          <w:sz w:val="20"/>
          <w:szCs w:val="20"/>
          <w:color w:val="auto"/>
        </w:rPr>
      </w:pPr>
    </w:p>
    <w:p>
      <w:pPr>
        <w:ind w:left="120"/>
        <w:spacing w:after="0" w:line="274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4"/>
          <w:szCs w:val="24"/>
          <w:b w:val="1"/>
          <w:bCs w:val="1"/>
          <w:color w:val="auto"/>
        </w:rPr>
        <w:t>工厂参观考察路线二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3175</wp:posOffset>
                </wp:positionH>
                <wp:positionV relativeFrom="paragraph">
                  <wp:posOffset>24765</wp:posOffset>
                </wp:positionV>
                <wp:extent cx="0" cy="1657350"/>
                <wp:wrapNone/>
                <wp:docPr id="13" name="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16573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3" o:spid="_x0000_s103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.25pt,1.95pt" to="0.25pt,132.45pt" o:allowincell="f" strokecolor="#000000" strokeweight="0.4799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6974205</wp:posOffset>
                </wp:positionH>
                <wp:positionV relativeFrom="paragraph">
                  <wp:posOffset>24765</wp:posOffset>
                </wp:positionV>
                <wp:extent cx="0" cy="1657350"/>
                <wp:wrapNone/>
                <wp:docPr id="14" name="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16573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4" o:spid="_x0000_s103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549.15pt,1.95pt" to="549.15pt,132.45pt" o:allowincell="f" strokecolor="#000000" strokeweight="0.48pt"/>
            </w:pict>
          </mc:Fallback>
        </mc:AlternateContent>
      </w:r>
    </w:p>
    <w:tbl>
      <w:tblPr>
        <w:tblLayout w:type="fixed"/>
        <w:tblInd w:w="0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282"/>
        </w:trPr>
        <w:tc>
          <w:tcPr>
            <w:tcW w:w="1720" w:type="dxa"/>
            <w:vAlign w:val="bottom"/>
            <w:tcBorders>
              <w:top w:val="single" w:sz="8" w:color="auto"/>
              <w:right w:val="single" w:sz="8" w:color="auto"/>
            </w:tcBorders>
          </w:tcPr>
          <w:p>
            <w:pPr>
              <w:ind w:left="12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13:00</w:t>
            </w:r>
          </w:p>
        </w:tc>
        <w:tc>
          <w:tcPr>
            <w:tcW w:w="9260" w:type="dxa"/>
            <w:vAlign w:val="bottom"/>
            <w:tcBorders>
              <w:top w:val="single" w:sz="8" w:color="auto"/>
            </w:tcBorders>
          </w:tcPr>
          <w:p>
            <w:pPr>
              <w:ind w:left="10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从东京威斯汀酒店乘坐巴士前往千叶县市川市</w:t>
            </w:r>
          </w:p>
        </w:tc>
      </w:tr>
      <w:tr>
        <w:trPr>
          <w:trHeight w:val="84"/>
        </w:trPr>
        <w:tc>
          <w:tcPr>
            <w:tcW w:w="17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926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</w:tr>
      <w:tr>
        <w:trPr>
          <w:trHeight w:val="262"/>
        </w:trPr>
        <w:tc>
          <w:tcPr>
            <w:tcW w:w="1720" w:type="dxa"/>
            <w:vAlign w:val="bottom"/>
            <w:tcBorders>
              <w:right w:val="single" w:sz="8" w:color="auto"/>
            </w:tcBorders>
          </w:tcPr>
          <w:p>
            <w:pPr>
              <w:ind w:left="12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14:30</w:t>
            </w:r>
          </w:p>
        </w:tc>
        <w:tc>
          <w:tcPr>
            <w:tcW w:w="9260" w:type="dxa"/>
            <w:vAlign w:val="bottom"/>
          </w:tcPr>
          <w:p>
            <w:pPr>
              <w:ind w:left="10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到达</w:t>
            </w:r>
          </w:p>
        </w:tc>
      </w:tr>
      <w:tr>
        <w:trPr>
          <w:trHeight w:val="40"/>
        </w:trPr>
        <w:tc>
          <w:tcPr>
            <w:tcW w:w="17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926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</w:tr>
      <w:tr>
        <w:trPr>
          <w:trHeight w:val="262"/>
        </w:trPr>
        <w:tc>
          <w:tcPr>
            <w:tcW w:w="1720" w:type="dxa"/>
            <w:vAlign w:val="bottom"/>
            <w:tcBorders>
              <w:right w:val="single" w:sz="8" w:color="auto"/>
            </w:tcBorders>
          </w:tcPr>
          <w:p>
            <w:pPr>
              <w:ind w:left="12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14:30-16:30</w:t>
            </w:r>
          </w:p>
        </w:tc>
        <w:tc>
          <w:tcPr>
            <w:tcW w:w="9260" w:type="dxa"/>
            <w:vAlign w:val="bottom"/>
          </w:tcPr>
          <w:p>
            <w:pPr>
              <w:ind w:left="10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参观从超循环系统的生命周期结束产品中回收资源的工厂</w:t>
            </w:r>
          </w:p>
        </w:tc>
      </w:tr>
      <w:tr>
        <w:trPr>
          <w:trHeight w:val="54"/>
        </w:trPr>
        <w:tc>
          <w:tcPr>
            <w:tcW w:w="17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926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</w:tr>
      <w:tr>
        <w:trPr>
          <w:trHeight w:val="264"/>
        </w:trPr>
        <w:tc>
          <w:tcPr>
            <w:tcW w:w="1720" w:type="dxa"/>
            <w:vAlign w:val="bottom"/>
            <w:tcBorders>
              <w:right w:val="single" w:sz="8" w:color="auto"/>
            </w:tcBorders>
          </w:tcPr>
          <w:p>
            <w:pPr>
              <w:ind w:left="120"/>
              <w:spacing w:after="0" w:line="26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18:00</w:t>
            </w:r>
          </w:p>
        </w:tc>
        <w:tc>
          <w:tcPr>
            <w:tcW w:w="9260" w:type="dxa"/>
            <w:vAlign w:val="bottom"/>
          </w:tcPr>
          <w:p>
            <w:pPr>
              <w:ind w:left="100"/>
              <w:spacing w:after="0" w:line="26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到达东京威斯汀酒店</w:t>
            </w:r>
          </w:p>
        </w:tc>
      </w:tr>
      <w:tr>
        <w:trPr>
          <w:trHeight w:val="38"/>
        </w:trPr>
        <w:tc>
          <w:tcPr>
            <w:tcW w:w="17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926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</w:tr>
    </w:tbl>
    <w:p>
      <w:pPr>
        <w:spacing w:after="0" w:line="36" w:lineRule="exact"/>
        <w:rPr>
          <w:sz w:val="20"/>
          <w:szCs w:val="20"/>
          <w:color w:val="auto"/>
        </w:rPr>
      </w:pPr>
    </w:p>
    <w:p>
      <w:pPr>
        <w:jc w:val="both"/>
        <w:ind w:left="120" w:right="100"/>
        <w:spacing w:after="0" w:line="293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4"/>
          <w:szCs w:val="24"/>
          <w:color w:val="auto"/>
        </w:rPr>
        <w:t>千叶县市川市超循环系统超循环系统公司于 1999 年 4 月开始运作，是一个新的、致力于可持续发展的回收工业的铸造厂，利用旧电器回收的金属和塑料材料，加工生产纯工业级材料的生产技术和系统。人工生产的生命周期产品约占每年处理回收塑料超循环系统的 6%。其余部分包括金属和塑料碎片。绿色循环系统使用自动化流程将金属从所谓的塑料过剩中分离出来。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6977380" cy="0"/>
                <wp:wrapNone/>
                <wp:docPr id="15" name="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7738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5" o:spid="_x0000_s104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pt,2.3pt" to="549.4pt,2.3pt" o:allowincell="f" strokecolor="#000000" strokeweight="0.48pt"/>
            </w:pict>
          </mc:Fallback>
        </mc:AlternateContent>
      </w:r>
    </w:p>
    <w:p>
      <w:pPr>
        <w:sectPr>
          <w:pgSz w:w="11900" w:h="16841" w:orient="portrait"/>
          <w:cols w:equalWidth="0" w:num="1">
            <w:col w:w="10980"/>
          </w:cols>
          <w:pgMar w:left="340" w:top="1308" w:right="586" w:bottom="0" w:gutter="0" w:footer="0" w:header="0"/>
        </w:sectPr>
      </w:pPr>
    </w:p>
    <w:bookmarkStart w:id="3" w:name="page4"/>
    <w:bookmarkEnd w:id="3"/>
    <w:p>
      <w:pPr>
        <w:ind w:left="40"/>
        <w:spacing w:after="0" w:line="274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4"/>
          <w:szCs w:val="24"/>
          <w:b w:val="1"/>
          <w:bCs w:val="1"/>
          <w:color w:val="auto"/>
        </w:rPr>
        <w:t>2019 年 7 月 2 日（星期二）议程安排</w:t>
      </w:r>
    </w:p>
    <w:p>
      <w:pPr>
        <w:spacing w:after="0" w:line="363" w:lineRule="exact"/>
        <w:rPr>
          <w:sz w:val="20"/>
          <w:szCs w:val="20"/>
          <w:color w:val="auto"/>
        </w:rPr>
      </w:pPr>
    </w:p>
    <w:tbl>
      <w:tblPr>
        <w:tblLayout w:type="fixed"/>
        <w:tblInd w:w="10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402"/>
        </w:trPr>
        <w:tc>
          <w:tcPr>
            <w:tcW w:w="2080" w:type="dxa"/>
            <w:vAlign w:val="bottom"/>
            <w:tcBorders>
              <w:top w:val="single" w:sz="8" w:color="auto"/>
              <w:left w:val="single" w:sz="8" w:color="auto"/>
              <w:right w:val="single" w:sz="8" w:color="auto"/>
            </w:tcBorders>
          </w:tcPr>
          <w:p>
            <w:pPr>
              <w:ind w:left="12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08:00-9:00</w:t>
            </w:r>
          </w:p>
        </w:tc>
        <w:tc>
          <w:tcPr>
            <w:tcW w:w="8840" w:type="dxa"/>
            <w:vAlign w:val="bottom"/>
            <w:tcBorders>
              <w:top w:val="single" w:sz="8" w:color="auto"/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注册和茶歇</w:t>
            </w:r>
          </w:p>
        </w:tc>
      </w:tr>
      <w:tr>
        <w:trPr>
          <w:trHeight w:val="167"/>
        </w:trPr>
        <w:tc>
          <w:tcPr>
            <w:tcW w:w="208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8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</w:tr>
      <w:tr>
        <w:trPr>
          <w:trHeight w:val="262"/>
        </w:trPr>
        <w:tc>
          <w:tcPr>
            <w:tcW w:w="20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ind w:left="12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09:00-10:30</w:t>
            </w:r>
          </w:p>
        </w:tc>
        <w:tc>
          <w:tcPr>
            <w:tcW w:w="884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开幕式和主题演讲者</w:t>
            </w:r>
          </w:p>
        </w:tc>
      </w:tr>
      <w:tr>
        <w:trPr>
          <w:trHeight w:val="312"/>
        </w:trPr>
        <w:tc>
          <w:tcPr>
            <w:tcW w:w="20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84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新能源交通工具走向绿色</w:t>
            </w:r>
          </w:p>
        </w:tc>
      </w:tr>
      <w:tr>
        <w:trPr>
          <w:trHeight w:val="312"/>
        </w:trPr>
        <w:tc>
          <w:tcPr>
            <w:tcW w:w="20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84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>发言嘉宾：</w:t>
            </w: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Roger Burri， 会议总监</w:t>
            </w:r>
          </w:p>
        </w:tc>
      </w:tr>
      <w:tr>
        <w:trPr>
          <w:trHeight w:val="310"/>
        </w:trPr>
        <w:tc>
          <w:tcPr>
            <w:tcW w:w="20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84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新能源交通工具在我们社会中的重要性</w:t>
            </w:r>
          </w:p>
        </w:tc>
      </w:tr>
      <w:tr>
        <w:trPr>
          <w:trHeight w:val="312"/>
        </w:trPr>
        <w:tc>
          <w:tcPr>
            <w:tcW w:w="20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84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>发言嘉宾：</w:t>
            </w: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Eiji Hosoda，EMCE</w:t>
            </w: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 xml:space="preserve"> </w:t>
            </w: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主席，日本中部大学教授， 日本</w:t>
            </w:r>
          </w:p>
        </w:tc>
      </w:tr>
      <w:tr>
        <w:trPr>
          <w:trHeight w:val="312"/>
        </w:trPr>
        <w:tc>
          <w:tcPr>
            <w:tcW w:w="20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84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日本 JAMA 锂离子电池联合收集系统</w:t>
            </w:r>
          </w:p>
        </w:tc>
      </w:tr>
      <w:tr>
        <w:trPr>
          <w:trHeight w:val="312"/>
        </w:trPr>
        <w:tc>
          <w:tcPr>
            <w:tcW w:w="20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84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>发言嘉宾：</w:t>
            </w: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Takashi Shimamura，日本汽车制造商协会（JAMA），日本</w:t>
            </w:r>
          </w:p>
        </w:tc>
      </w:tr>
      <w:tr>
        <w:trPr>
          <w:trHeight w:val="350"/>
        </w:trPr>
        <w:tc>
          <w:tcPr>
            <w:tcW w:w="208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</w:tr>
      <w:tr>
        <w:trPr>
          <w:trHeight w:val="382"/>
        </w:trPr>
        <w:tc>
          <w:tcPr>
            <w:tcW w:w="20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ind w:left="12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10:30-11:00</w:t>
            </w:r>
          </w:p>
        </w:tc>
        <w:tc>
          <w:tcPr>
            <w:tcW w:w="884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展览区茶歇</w:t>
            </w:r>
          </w:p>
        </w:tc>
      </w:tr>
      <w:tr>
        <w:trPr>
          <w:trHeight w:val="210"/>
        </w:trPr>
        <w:tc>
          <w:tcPr>
            <w:tcW w:w="208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8"/>
                <w:szCs w:val="18"/>
                <w:color w:val="auto"/>
              </w:rPr>
            </w:pPr>
          </w:p>
        </w:tc>
        <w:tc>
          <w:tcPr>
            <w:tcW w:w="8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8"/>
                <w:szCs w:val="18"/>
                <w:color w:val="auto"/>
              </w:rPr>
            </w:pPr>
          </w:p>
        </w:tc>
      </w:tr>
      <w:tr>
        <w:trPr>
          <w:trHeight w:val="262"/>
        </w:trPr>
        <w:tc>
          <w:tcPr>
            <w:tcW w:w="20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ind w:left="12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11:00-12:00</w:t>
            </w:r>
          </w:p>
        </w:tc>
        <w:tc>
          <w:tcPr>
            <w:tcW w:w="884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2030 年新能源交通工具将会是什么样子</w:t>
            </w:r>
          </w:p>
        </w:tc>
      </w:tr>
      <w:tr>
        <w:trPr>
          <w:trHeight w:val="312"/>
        </w:trPr>
        <w:tc>
          <w:tcPr>
            <w:tcW w:w="20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84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>发言嘉宾:</w:t>
            </w: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Didier</w:t>
            </w: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 xml:space="preserve"> </w:t>
            </w: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Marginèdes，</w:t>
            </w: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 xml:space="preserve"> </w:t>
            </w: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Blue Solutions -</w:t>
            </w: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 xml:space="preserve"> </w:t>
            </w: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Bolloré</w:t>
            </w: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 xml:space="preserve"> </w:t>
            </w: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集团，法国</w:t>
            </w:r>
          </w:p>
        </w:tc>
      </w:tr>
      <w:tr>
        <w:trPr>
          <w:trHeight w:val="310"/>
        </w:trPr>
        <w:tc>
          <w:tcPr>
            <w:tcW w:w="20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84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中国循环经济受经济，环境和立法驱动</w:t>
            </w:r>
          </w:p>
        </w:tc>
      </w:tr>
      <w:tr>
        <w:trPr>
          <w:trHeight w:val="312"/>
        </w:trPr>
        <w:tc>
          <w:tcPr>
            <w:tcW w:w="20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84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>发言嘉宾:</w:t>
            </w: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李金惠教授，清华大学，中国</w:t>
            </w:r>
          </w:p>
        </w:tc>
      </w:tr>
      <w:tr>
        <w:trPr>
          <w:trHeight w:val="352"/>
        </w:trPr>
        <w:tc>
          <w:tcPr>
            <w:tcW w:w="208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</w:tr>
      <w:tr>
        <w:trPr>
          <w:trHeight w:val="382"/>
        </w:trPr>
        <w:tc>
          <w:tcPr>
            <w:tcW w:w="20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ind w:left="12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12:00-13:30</w:t>
            </w:r>
          </w:p>
        </w:tc>
        <w:tc>
          <w:tcPr>
            <w:tcW w:w="884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展览区午餐</w:t>
            </w:r>
          </w:p>
        </w:tc>
      </w:tr>
      <w:tr>
        <w:trPr>
          <w:trHeight w:val="155"/>
        </w:trPr>
        <w:tc>
          <w:tcPr>
            <w:tcW w:w="208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3"/>
                <w:szCs w:val="13"/>
                <w:color w:val="auto"/>
              </w:rPr>
            </w:pPr>
          </w:p>
        </w:tc>
        <w:tc>
          <w:tcPr>
            <w:tcW w:w="8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3"/>
                <w:szCs w:val="13"/>
                <w:color w:val="auto"/>
              </w:rPr>
            </w:pPr>
          </w:p>
        </w:tc>
      </w:tr>
      <w:tr>
        <w:trPr>
          <w:trHeight w:val="262"/>
        </w:trPr>
        <w:tc>
          <w:tcPr>
            <w:tcW w:w="20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ind w:left="12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13:30-15:00</w:t>
            </w:r>
          </w:p>
        </w:tc>
        <w:tc>
          <w:tcPr>
            <w:tcW w:w="884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>第一单元：循环经济对工业的影响</w:t>
            </w:r>
          </w:p>
        </w:tc>
      </w:tr>
      <w:tr>
        <w:trPr>
          <w:trHeight w:val="312"/>
        </w:trPr>
        <w:tc>
          <w:tcPr>
            <w:tcW w:w="20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84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>主持：Brian Taylor，回收今日传媒集团，香港</w:t>
            </w:r>
          </w:p>
        </w:tc>
      </w:tr>
      <w:tr>
        <w:trPr>
          <w:trHeight w:val="153"/>
        </w:trPr>
        <w:tc>
          <w:tcPr>
            <w:tcW w:w="20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3"/>
                <w:szCs w:val="13"/>
                <w:color w:val="auto"/>
              </w:rPr>
            </w:pPr>
          </w:p>
        </w:tc>
        <w:tc>
          <w:tcPr>
            <w:tcW w:w="8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3"/>
                <w:szCs w:val="13"/>
                <w:color w:val="auto"/>
              </w:rPr>
            </w:pPr>
          </w:p>
        </w:tc>
      </w:tr>
      <w:tr>
        <w:trPr>
          <w:trHeight w:val="262"/>
        </w:trPr>
        <w:tc>
          <w:tcPr>
            <w:tcW w:w="20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884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促进循环经济 - 戴尔的观点和展望</w:t>
            </w:r>
          </w:p>
        </w:tc>
      </w:tr>
      <w:tr>
        <w:trPr>
          <w:trHeight w:val="312"/>
        </w:trPr>
        <w:tc>
          <w:tcPr>
            <w:tcW w:w="20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84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>发言嘉宾:</w:t>
            </w: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Vivian Ta， 台湾戴尔科技,</w:t>
            </w: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 xml:space="preserve"> </w:t>
            </w: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台湾</w:t>
            </w:r>
          </w:p>
        </w:tc>
      </w:tr>
      <w:tr>
        <w:trPr>
          <w:trHeight w:val="312"/>
        </w:trPr>
        <w:tc>
          <w:tcPr>
            <w:tcW w:w="20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84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日本循环经济的机遇</w:t>
            </w:r>
          </w:p>
        </w:tc>
      </w:tr>
      <w:tr>
        <w:trPr>
          <w:trHeight w:val="310"/>
        </w:trPr>
        <w:tc>
          <w:tcPr>
            <w:tcW w:w="20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84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>发言嘉宾:</w:t>
            </w: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Kazunori Kitagawa,</w:t>
            </w: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 xml:space="preserve"> </w:t>
            </w: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日本生产力中心，日本</w:t>
            </w:r>
          </w:p>
        </w:tc>
      </w:tr>
      <w:tr>
        <w:trPr>
          <w:trHeight w:val="312"/>
        </w:trPr>
        <w:tc>
          <w:tcPr>
            <w:tcW w:w="20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84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汽车电子服务-电动汽车与循环经济的整体途径</w:t>
            </w:r>
          </w:p>
        </w:tc>
      </w:tr>
      <w:tr>
        <w:trPr>
          <w:trHeight w:val="312"/>
        </w:trPr>
        <w:tc>
          <w:tcPr>
            <w:tcW w:w="20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84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>发言嘉宾:</w:t>
            </w: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Markus Wagner，Circular Economy Solutions GmbH (C-ECO)，德国</w:t>
            </w:r>
          </w:p>
        </w:tc>
      </w:tr>
      <w:tr>
        <w:trPr>
          <w:trHeight w:val="266"/>
        </w:trPr>
        <w:tc>
          <w:tcPr>
            <w:tcW w:w="208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8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</w:tr>
      <w:tr>
        <w:trPr>
          <w:trHeight w:val="382"/>
        </w:trPr>
        <w:tc>
          <w:tcPr>
            <w:tcW w:w="20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ind w:left="12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15:00-15:30</w:t>
            </w:r>
          </w:p>
        </w:tc>
        <w:tc>
          <w:tcPr>
            <w:tcW w:w="884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展览区茶歇</w:t>
            </w:r>
          </w:p>
        </w:tc>
      </w:tr>
      <w:tr>
        <w:trPr>
          <w:trHeight w:val="162"/>
        </w:trPr>
        <w:tc>
          <w:tcPr>
            <w:tcW w:w="208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8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</w:tr>
      <w:tr>
        <w:trPr>
          <w:trHeight w:val="262"/>
        </w:trPr>
        <w:tc>
          <w:tcPr>
            <w:tcW w:w="20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ind w:left="12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15:30-17:00</w:t>
            </w:r>
          </w:p>
        </w:tc>
        <w:tc>
          <w:tcPr>
            <w:tcW w:w="884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>第二单元：汽车行业创新 I</w:t>
            </w:r>
          </w:p>
        </w:tc>
      </w:tr>
      <w:tr>
        <w:trPr>
          <w:trHeight w:val="310"/>
        </w:trPr>
        <w:tc>
          <w:tcPr>
            <w:tcW w:w="20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84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>主持：Willy Tomboy，Detomserve Mobility GCV,比利时</w:t>
            </w:r>
          </w:p>
        </w:tc>
      </w:tr>
      <w:tr>
        <w:trPr>
          <w:trHeight w:val="131"/>
        </w:trPr>
        <w:tc>
          <w:tcPr>
            <w:tcW w:w="20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1"/>
                <w:szCs w:val="11"/>
                <w:color w:val="auto"/>
              </w:rPr>
            </w:pPr>
          </w:p>
        </w:tc>
        <w:tc>
          <w:tcPr>
            <w:tcW w:w="8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1"/>
                <w:szCs w:val="11"/>
                <w:color w:val="auto"/>
              </w:rPr>
            </w:pPr>
          </w:p>
        </w:tc>
      </w:tr>
      <w:tr>
        <w:trPr>
          <w:trHeight w:val="262"/>
        </w:trPr>
        <w:tc>
          <w:tcPr>
            <w:tcW w:w="20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884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智能在汽车行业的运用（ICV）</w:t>
            </w:r>
          </w:p>
        </w:tc>
      </w:tr>
      <w:tr>
        <w:trPr>
          <w:trHeight w:val="312"/>
        </w:trPr>
        <w:tc>
          <w:tcPr>
            <w:tcW w:w="20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84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>发言嘉宾:</w:t>
            </w: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Rasmus Wiedmann，大众汽车，中国</w:t>
            </w:r>
          </w:p>
        </w:tc>
      </w:tr>
      <w:tr>
        <w:trPr>
          <w:trHeight w:val="312"/>
        </w:trPr>
        <w:tc>
          <w:tcPr>
            <w:tcW w:w="20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84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燃料电池高性能催化剂</w:t>
            </w:r>
          </w:p>
        </w:tc>
      </w:tr>
      <w:tr>
        <w:trPr>
          <w:trHeight w:val="310"/>
        </w:trPr>
        <w:tc>
          <w:tcPr>
            <w:tcW w:w="20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84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>发言嘉宾:</w:t>
            </w: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Fabrice Stassin，优美科，比利时</w:t>
            </w:r>
          </w:p>
        </w:tc>
      </w:tr>
      <w:tr>
        <w:trPr>
          <w:trHeight w:val="312"/>
        </w:trPr>
        <w:tc>
          <w:tcPr>
            <w:tcW w:w="20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84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汽车行业最先进的电池技术概述</w:t>
            </w:r>
          </w:p>
        </w:tc>
      </w:tr>
      <w:tr>
        <w:trPr>
          <w:trHeight w:val="312"/>
        </w:trPr>
        <w:tc>
          <w:tcPr>
            <w:tcW w:w="20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84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>发言嘉宾:</w:t>
            </w: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Christophe Pillot，AVICENNE ENERGY,</w:t>
            </w: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 xml:space="preserve"> </w:t>
            </w: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法国</w:t>
            </w:r>
          </w:p>
        </w:tc>
      </w:tr>
      <w:tr>
        <w:trPr>
          <w:trHeight w:val="350"/>
        </w:trPr>
        <w:tc>
          <w:tcPr>
            <w:tcW w:w="208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</w:tr>
      <w:tr>
        <w:trPr>
          <w:trHeight w:val="382"/>
        </w:trPr>
        <w:tc>
          <w:tcPr>
            <w:tcW w:w="20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ind w:left="12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17:00-19:00</w:t>
            </w:r>
          </w:p>
        </w:tc>
        <w:tc>
          <w:tcPr>
            <w:tcW w:w="884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展览区客户招待酒会</w:t>
            </w:r>
          </w:p>
        </w:tc>
      </w:tr>
      <w:tr>
        <w:trPr>
          <w:trHeight w:val="227"/>
        </w:trPr>
        <w:tc>
          <w:tcPr>
            <w:tcW w:w="208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9"/>
                <w:szCs w:val="19"/>
                <w:color w:val="auto"/>
              </w:rPr>
            </w:pPr>
          </w:p>
        </w:tc>
        <w:tc>
          <w:tcPr>
            <w:tcW w:w="8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9"/>
                <w:szCs w:val="19"/>
                <w:color w:val="auto"/>
              </w:rPr>
            </w:pPr>
          </w:p>
        </w:tc>
      </w:tr>
    </w:tbl>
    <w:p>
      <w:pPr>
        <w:sectPr>
          <w:pgSz w:w="11900" w:h="16841" w:orient="portrait"/>
          <w:cols w:equalWidth="0" w:num="1">
            <w:col w:w="10900"/>
          </w:cols>
          <w:pgMar w:left="380" w:top="564" w:right="626" w:bottom="1440" w:gutter="0" w:footer="0" w:header="0"/>
        </w:sectPr>
      </w:pPr>
    </w:p>
    <w:bookmarkStart w:id="4" w:name="page5"/>
    <w:bookmarkEnd w:id="4"/>
    <w:p>
      <w:pPr>
        <w:ind w:left="40"/>
        <w:spacing w:after="0" w:line="274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4"/>
          <w:szCs w:val="24"/>
          <w:b w:val="1"/>
          <w:bCs w:val="1"/>
          <w:color w:val="auto"/>
        </w:rPr>
        <w:t>2019 年 7 月 3 日（星期三）议程安排</w:t>
      </w:r>
    </w:p>
    <w:p>
      <w:pPr>
        <w:spacing w:after="0" w:line="363" w:lineRule="exact"/>
        <w:rPr>
          <w:sz w:val="20"/>
          <w:szCs w:val="20"/>
          <w:color w:val="auto"/>
        </w:rPr>
      </w:pPr>
    </w:p>
    <w:tbl>
      <w:tblPr>
        <w:tblLayout w:type="fixed"/>
        <w:tblInd w:w="10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402"/>
        </w:trPr>
        <w:tc>
          <w:tcPr>
            <w:tcW w:w="2060" w:type="dxa"/>
            <w:vAlign w:val="bottom"/>
            <w:tcBorders>
              <w:top w:val="single" w:sz="8" w:color="auto"/>
              <w:left w:val="single" w:sz="8" w:color="auto"/>
              <w:right w:val="single" w:sz="8" w:color="auto"/>
            </w:tcBorders>
          </w:tcPr>
          <w:p>
            <w:pPr>
              <w:ind w:left="12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08:00-09:00</w:t>
            </w:r>
          </w:p>
        </w:tc>
        <w:tc>
          <w:tcPr>
            <w:tcW w:w="8920" w:type="dxa"/>
            <w:vAlign w:val="bottom"/>
            <w:tcBorders>
              <w:top w:val="single" w:sz="8" w:color="auto"/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展览区茶歇</w:t>
            </w:r>
          </w:p>
        </w:tc>
      </w:tr>
      <w:tr>
        <w:trPr>
          <w:trHeight w:val="167"/>
        </w:trPr>
        <w:tc>
          <w:tcPr>
            <w:tcW w:w="206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89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</w:tr>
      <w:tr>
        <w:trPr>
          <w:trHeight w:val="262"/>
        </w:trPr>
        <w:tc>
          <w:tcPr>
            <w:tcW w:w="20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ind w:left="12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09:00-10:00</w:t>
            </w:r>
          </w:p>
        </w:tc>
        <w:tc>
          <w:tcPr>
            <w:tcW w:w="892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>第三单元：汽车行业创新 II</w:t>
            </w:r>
          </w:p>
        </w:tc>
      </w:tr>
      <w:tr>
        <w:trPr>
          <w:trHeight w:val="312"/>
        </w:trPr>
        <w:tc>
          <w:tcPr>
            <w:tcW w:w="20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92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>主持:孙伟，中国大众汽车集团公司</w:t>
            </w:r>
          </w:p>
        </w:tc>
      </w:tr>
      <w:tr>
        <w:trPr>
          <w:trHeight w:val="225"/>
        </w:trPr>
        <w:tc>
          <w:tcPr>
            <w:tcW w:w="20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9"/>
                <w:szCs w:val="19"/>
                <w:color w:val="auto"/>
              </w:rPr>
            </w:pPr>
          </w:p>
        </w:tc>
        <w:tc>
          <w:tcPr>
            <w:tcW w:w="89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9"/>
                <w:szCs w:val="19"/>
                <w:color w:val="auto"/>
              </w:rPr>
            </w:pPr>
          </w:p>
        </w:tc>
      </w:tr>
      <w:tr>
        <w:trPr>
          <w:trHeight w:val="262"/>
        </w:trPr>
        <w:tc>
          <w:tcPr>
            <w:tcW w:w="20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892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实践中的 xEV 电池生命周期管理</w:t>
            </w:r>
          </w:p>
        </w:tc>
      </w:tr>
      <w:tr>
        <w:trPr>
          <w:trHeight w:val="312"/>
        </w:trPr>
        <w:tc>
          <w:tcPr>
            <w:tcW w:w="20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92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>演讲嘉宾:</w:t>
            </w: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Dirk Spiers，Spiers New Technologies,</w:t>
            </w: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 xml:space="preserve"> </w:t>
            </w: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美国</w:t>
            </w:r>
          </w:p>
        </w:tc>
      </w:tr>
      <w:tr>
        <w:trPr>
          <w:trHeight w:val="422"/>
        </w:trPr>
        <w:tc>
          <w:tcPr>
            <w:tcW w:w="20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92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LIB 市场和电动汽车再利用，再制造电池</w:t>
            </w:r>
          </w:p>
        </w:tc>
      </w:tr>
      <w:tr>
        <w:trPr>
          <w:trHeight w:val="312"/>
        </w:trPr>
        <w:tc>
          <w:tcPr>
            <w:tcW w:w="20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92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>发言嘉宾:</w:t>
            </w: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Yu-Tack Kim，韩国电池工业协会/韩国电池研发协会，韩国</w:t>
            </w:r>
          </w:p>
        </w:tc>
      </w:tr>
      <w:tr>
        <w:trPr>
          <w:trHeight w:val="246"/>
        </w:trPr>
        <w:tc>
          <w:tcPr>
            <w:tcW w:w="206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  <w:tc>
          <w:tcPr>
            <w:tcW w:w="89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</w:tr>
      <w:tr>
        <w:trPr>
          <w:trHeight w:val="382"/>
        </w:trPr>
        <w:tc>
          <w:tcPr>
            <w:tcW w:w="20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ind w:left="12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10:00-10:30</w:t>
            </w:r>
          </w:p>
        </w:tc>
        <w:tc>
          <w:tcPr>
            <w:tcW w:w="892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展览区茶歇</w:t>
            </w:r>
          </w:p>
        </w:tc>
      </w:tr>
      <w:tr>
        <w:trPr>
          <w:trHeight w:val="180"/>
        </w:trPr>
        <w:tc>
          <w:tcPr>
            <w:tcW w:w="206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5"/>
                <w:szCs w:val="15"/>
                <w:color w:val="auto"/>
              </w:rPr>
            </w:pPr>
          </w:p>
        </w:tc>
        <w:tc>
          <w:tcPr>
            <w:tcW w:w="89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5"/>
                <w:szCs w:val="15"/>
                <w:color w:val="auto"/>
              </w:rPr>
            </w:pPr>
          </w:p>
        </w:tc>
      </w:tr>
      <w:tr>
        <w:trPr>
          <w:trHeight w:val="264"/>
        </w:trPr>
        <w:tc>
          <w:tcPr>
            <w:tcW w:w="20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ind w:left="120"/>
              <w:spacing w:after="0" w:line="26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10:30-11:30</w:t>
            </w:r>
          </w:p>
        </w:tc>
        <w:tc>
          <w:tcPr>
            <w:tcW w:w="892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6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>第四单元:回收和材料供应行业创新 I</w:t>
            </w:r>
          </w:p>
        </w:tc>
      </w:tr>
      <w:tr>
        <w:trPr>
          <w:trHeight w:val="310"/>
        </w:trPr>
        <w:tc>
          <w:tcPr>
            <w:tcW w:w="20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92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>主持:Kazumi Nozawa，Perry Johnson Holding Inc., 日本</w:t>
            </w:r>
          </w:p>
        </w:tc>
      </w:tr>
      <w:tr>
        <w:trPr>
          <w:trHeight w:val="107"/>
        </w:trPr>
        <w:tc>
          <w:tcPr>
            <w:tcW w:w="20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89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</w:tr>
      <w:tr>
        <w:trPr>
          <w:trHeight w:val="262"/>
        </w:trPr>
        <w:tc>
          <w:tcPr>
            <w:tcW w:w="20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892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蓬勃发展的新能源汽车对北美回收产业的影响</w:t>
            </w:r>
          </w:p>
        </w:tc>
      </w:tr>
      <w:tr>
        <w:trPr>
          <w:trHeight w:val="312"/>
        </w:trPr>
        <w:tc>
          <w:tcPr>
            <w:tcW w:w="20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92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>发言嘉宾:</w:t>
            </w: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Adina Renee Adler， 美国废料回收工业公司(ISRI)</w:t>
            </w:r>
          </w:p>
        </w:tc>
      </w:tr>
      <w:tr>
        <w:trPr>
          <w:trHeight w:val="418"/>
        </w:trPr>
        <w:tc>
          <w:tcPr>
            <w:tcW w:w="20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92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新能源汽车 - 汽车回收利用，电子产品回收利用及循环经济的结合点</w:t>
            </w:r>
          </w:p>
        </w:tc>
      </w:tr>
      <w:tr>
        <w:trPr>
          <w:trHeight w:val="312"/>
        </w:trPr>
        <w:tc>
          <w:tcPr>
            <w:tcW w:w="20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92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>发言嘉宾:</w:t>
            </w: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Makoto Harita，Harita Metal Co., Ltd.,</w:t>
            </w: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 xml:space="preserve"> </w:t>
            </w: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日本</w:t>
            </w:r>
          </w:p>
        </w:tc>
      </w:tr>
      <w:tr>
        <w:trPr>
          <w:trHeight w:val="246"/>
        </w:trPr>
        <w:tc>
          <w:tcPr>
            <w:tcW w:w="206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  <w:tc>
          <w:tcPr>
            <w:tcW w:w="89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</w:tr>
      <w:tr>
        <w:trPr>
          <w:trHeight w:val="382"/>
        </w:trPr>
        <w:tc>
          <w:tcPr>
            <w:tcW w:w="20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ind w:left="12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11:30-13:00</w:t>
            </w:r>
          </w:p>
        </w:tc>
        <w:tc>
          <w:tcPr>
            <w:tcW w:w="892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在展览区午餐</w:t>
            </w:r>
          </w:p>
        </w:tc>
      </w:tr>
      <w:tr>
        <w:trPr>
          <w:trHeight w:val="162"/>
        </w:trPr>
        <w:tc>
          <w:tcPr>
            <w:tcW w:w="206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89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</w:tr>
      <w:tr>
        <w:trPr>
          <w:trHeight w:val="262"/>
        </w:trPr>
        <w:tc>
          <w:tcPr>
            <w:tcW w:w="20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ind w:left="12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13:00-14:30</w:t>
            </w:r>
          </w:p>
        </w:tc>
        <w:tc>
          <w:tcPr>
            <w:tcW w:w="892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>第五单元：回收和材料供应行业创新 II</w:t>
            </w:r>
          </w:p>
        </w:tc>
      </w:tr>
      <w:tr>
        <w:trPr>
          <w:trHeight w:val="312"/>
        </w:trPr>
        <w:tc>
          <w:tcPr>
            <w:tcW w:w="20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92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>主持:Genkichi Ando, Seinan Corporation, 日本</w:t>
            </w:r>
          </w:p>
        </w:tc>
      </w:tr>
      <w:tr>
        <w:trPr>
          <w:trHeight w:val="174"/>
        </w:trPr>
        <w:tc>
          <w:tcPr>
            <w:tcW w:w="20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5"/>
                <w:szCs w:val="15"/>
                <w:color w:val="auto"/>
              </w:rPr>
            </w:pPr>
          </w:p>
        </w:tc>
        <w:tc>
          <w:tcPr>
            <w:tcW w:w="89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5"/>
                <w:szCs w:val="15"/>
                <w:color w:val="auto"/>
              </w:rPr>
            </w:pPr>
          </w:p>
        </w:tc>
      </w:tr>
      <w:tr>
        <w:trPr>
          <w:trHeight w:val="262"/>
        </w:trPr>
        <w:tc>
          <w:tcPr>
            <w:tcW w:w="20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892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实行新能源交通工具的循环利用 - 机遇和</w:t>
            </w:r>
          </w:p>
        </w:tc>
      </w:tr>
      <w:tr>
        <w:trPr>
          <w:trHeight w:val="312"/>
        </w:trPr>
        <w:tc>
          <w:tcPr>
            <w:tcW w:w="20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92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>发言嘉宾:</w:t>
            </w: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Rasmus Bergström，Stena Recycling,瑞典</w:t>
            </w:r>
          </w:p>
        </w:tc>
      </w:tr>
      <w:tr>
        <w:trPr>
          <w:trHeight w:val="427"/>
        </w:trPr>
        <w:tc>
          <w:tcPr>
            <w:tcW w:w="20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92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日本二手混合动力汽车的出口，再利用和再循环</w:t>
            </w:r>
          </w:p>
        </w:tc>
      </w:tr>
      <w:tr>
        <w:trPr>
          <w:trHeight w:val="312"/>
        </w:trPr>
        <w:tc>
          <w:tcPr>
            <w:tcW w:w="20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92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>发言嘉宾:</w:t>
            </w: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Kenichi Togawa</w:t>
            </w: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 xml:space="preserve"> </w:t>
            </w: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教授, Arata Abe</w:t>
            </w: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 xml:space="preserve"> </w:t>
            </w: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教授,熊本大学和山口大学,日本</w:t>
            </w:r>
          </w:p>
        </w:tc>
      </w:tr>
      <w:tr>
        <w:trPr>
          <w:trHeight w:val="422"/>
        </w:trPr>
        <w:tc>
          <w:tcPr>
            <w:tcW w:w="20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92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碳、塑料和玻璃怎么办？-这不仅仅是恢复战略金属</w:t>
            </w:r>
          </w:p>
        </w:tc>
      </w:tr>
      <w:tr>
        <w:trPr>
          <w:trHeight w:val="310"/>
        </w:trPr>
        <w:tc>
          <w:tcPr>
            <w:tcW w:w="20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92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>发言嘉宾:</w:t>
            </w: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Alvin Piadasa，TES Group，澳大利亚</w:t>
            </w:r>
          </w:p>
        </w:tc>
      </w:tr>
      <w:tr>
        <w:trPr>
          <w:trHeight w:val="249"/>
        </w:trPr>
        <w:tc>
          <w:tcPr>
            <w:tcW w:w="206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  <w:tc>
          <w:tcPr>
            <w:tcW w:w="89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</w:tr>
      <w:tr>
        <w:trPr>
          <w:trHeight w:val="382"/>
        </w:trPr>
        <w:tc>
          <w:tcPr>
            <w:tcW w:w="20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ind w:left="12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14:30-15:00</w:t>
            </w:r>
          </w:p>
        </w:tc>
        <w:tc>
          <w:tcPr>
            <w:tcW w:w="892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展览区茶歇</w:t>
            </w:r>
          </w:p>
        </w:tc>
      </w:tr>
      <w:tr>
        <w:trPr>
          <w:trHeight w:val="198"/>
        </w:trPr>
        <w:tc>
          <w:tcPr>
            <w:tcW w:w="206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89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</w:tr>
      <w:tr>
        <w:trPr>
          <w:trHeight w:val="264"/>
        </w:trPr>
        <w:tc>
          <w:tcPr>
            <w:tcW w:w="20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ind w:left="120"/>
              <w:spacing w:after="0" w:line="26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15:00-17:00</w:t>
            </w:r>
          </w:p>
        </w:tc>
        <w:tc>
          <w:tcPr>
            <w:tcW w:w="892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6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>第六单元：汽车电池和原材料供应</w:t>
            </w:r>
          </w:p>
        </w:tc>
      </w:tr>
      <w:tr>
        <w:trPr>
          <w:trHeight w:val="310"/>
        </w:trPr>
        <w:tc>
          <w:tcPr>
            <w:tcW w:w="20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92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>主持:Christophe Pillot, AVICENNE ENERGY, 法国</w:t>
            </w:r>
          </w:p>
        </w:tc>
      </w:tr>
      <w:tr>
        <w:trPr>
          <w:trHeight w:val="198"/>
        </w:trPr>
        <w:tc>
          <w:tcPr>
            <w:tcW w:w="20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89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</w:tr>
      <w:tr>
        <w:trPr>
          <w:trHeight w:val="262"/>
        </w:trPr>
        <w:tc>
          <w:tcPr>
            <w:tcW w:w="20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892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中国动力电池回收法规更新</w:t>
            </w:r>
          </w:p>
        </w:tc>
      </w:tr>
      <w:tr>
        <w:trPr>
          <w:trHeight w:val="310"/>
        </w:trPr>
        <w:tc>
          <w:tcPr>
            <w:tcW w:w="20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92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>发言嘉宾:</w:t>
            </w: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武双贺，中国汽车技术研究中心(CATARC)，中国</w:t>
            </w:r>
          </w:p>
        </w:tc>
      </w:tr>
      <w:tr>
        <w:trPr>
          <w:trHeight w:val="406"/>
        </w:trPr>
        <w:tc>
          <w:tcPr>
            <w:tcW w:w="20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92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从锂电池废料中回收活性物质的结果</w:t>
            </w:r>
          </w:p>
        </w:tc>
      </w:tr>
      <w:tr>
        <w:trPr>
          <w:trHeight w:val="310"/>
        </w:trPr>
        <w:tc>
          <w:tcPr>
            <w:tcW w:w="20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92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>发言嘉宾:</w:t>
            </w: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Daniel Horn，Fraunhofer Institute,德国</w:t>
            </w:r>
          </w:p>
        </w:tc>
      </w:tr>
      <w:tr>
        <w:trPr>
          <w:trHeight w:val="322"/>
        </w:trPr>
        <w:tc>
          <w:tcPr>
            <w:tcW w:w="20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92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JX 日本矿业和金属公司废弃锂离子电池回收</w:t>
            </w:r>
          </w:p>
        </w:tc>
      </w:tr>
      <w:tr>
        <w:trPr>
          <w:trHeight w:val="312"/>
        </w:trPr>
        <w:tc>
          <w:tcPr>
            <w:tcW w:w="20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92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>发言嘉宾:</w:t>
            </w: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Hirotaka Ariyoshi, JX</w:t>
            </w: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 xml:space="preserve"> </w:t>
            </w: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日本矿业和金属,日本</w:t>
            </w:r>
          </w:p>
        </w:tc>
      </w:tr>
      <w:tr>
        <w:trPr>
          <w:trHeight w:val="322"/>
        </w:trPr>
        <w:tc>
          <w:tcPr>
            <w:tcW w:w="20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92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围绕可持续发展和战略金属回收的电动汽车领域的循环经济</w:t>
            </w:r>
          </w:p>
        </w:tc>
      </w:tr>
      <w:tr>
        <w:trPr>
          <w:trHeight w:val="310"/>
        </w:trPr>
        <w:tc>
          <w:tcPr>
            <w:tcW w:w="20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92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>发言嘉宾:</w:t>
            </w: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Farouk Tedjar, RECUPYL,法国</w:t>
            </w:r>
          </w:p>
        </w:tc>
      </w:tr>
      <w:tr>
        <w:trPr>
          <w:trHeight w:val="249"/>
        </w:trPr>
        <w:tc>
          <w:tcPr>
            <w:tcW w:w="206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  <w:tc>
          <w:tcPr>
            <w:tcW w:w="89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</w:tr>
      <w:tr>
        <w:trPr>
          <w:trHeight w:val="382"/>
        </w:trPr>
        <w:tc>
          <w:tcPr>
            <w:tcW w:w="20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ind w:left="12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17:00</w:t>
            </w:r>
          </w:p>
        </w:tc>
        <w:tc>
          <w:tcPr>
            <w:tcW w:w="8920" w:type="dxa"/>
            <w:vAlign w:val="bottom"/>
            <w:tcBorders>
              <w:right w:val="single" w:sz="8" w:color="auto"/>
            </w:tcBorders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会议总结</w:t>
            </w:r>
          </w:p>
        </w:tc>
      </w:tr>
      <w:tr>
        <w:trPr>
          <w:trHeight w:val="105"/>
        </w:trPr>
        <w:tc>
          <w:tcPr>
            <w:tcW w:w="206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89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</w:tr>
    </w:tbl>
    <w:p>
      <w:pPr>
        <w:sectPr>
          <w:pgSz w:w="11900" w:h="16841" w:orient="portrait"/>
          <w:cols w:equalWidth="0" w:num="1">
            <w:col w:w="10960"/>
          </w:cols>
          <w:pgMar w:left="380" w:top="564" w:right="566" w:bottom="866" w:gutter="0" w:footer="0" w:header="0"/>
        </w:sectPr>
      </w:pPr>
    </w:p>
    <w:bookmarkStart w:id="5" w:name="page6"/>
    <w:bookmarkEnd w:id="5"/>
    <w:p>
      <w:pPr>
        <w:ind w:left="80"/>
        <w:spacing w:after="0" w:line="343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30"/>
          <w:szCs w:val="30"/>
          <w:b w:val="1"/>
          <w:bCs w:val="1"/>
          <w:color w:val="auto"/>
        </w:rPr>
        <w:t>参加机构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jc w:val="both"/>
        <w:ind w:left="80" w:right="280"/>
        <w:spacing w:after="0" w:line="293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4"/>
          <w:szCs w:val="24"/>
          <w:color w:val="auto"/>
        </w:rPr>
        <w:t>汽车制造商（OEM）、电池制造商、电子和电源公司、生态设计师和工程师、最佳可用技术供应商收集和运输公司、黑色和不锈钢行业、回收和拆解公司、收集计划和收回组织、零部件供应商、行业顾问、环保部门、黑色金属和有色金属贸易商、材料科学实验室、有色金属工业、塑料工业、再制造工程师、再利用和再制造机构、钢铁工业、大学和研究机构、电池回收商。</w:t>
      </w:r>
    </w:p>
    <w:p>
      <w:pPr>
        <w:spacing w:after="0" w:line="162" w:lineRule="exact"/>
        <w:rPr>
          <w:sz w:val="20"/>
          <w:szCs w:val="20"/>
          <w:color w:val="auto"/>
        </w:rPr>
      </w:pPr>
    </w:p>
    <w:p>
      <w:pPr>
        <w:ind w:left="80"/>
        <w:spacing w:after="0" w:line="343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30"/>
          <w:szCs w:val="30"/>
          <w:b w:val="1"/>
          <w:bCs w:val="1"/>
          <w:color w:val="auto"/>
        </w:rPr>
        <w:t>客户招待酒会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jc w:val="both"/>
        <w:ind w:left="80" w:right="280"/>
        <w:spacing w:after="0" w:line="274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4"/>
          <w:szCs w:val="24"/>
          <w:color w:val="auto"/>
        </w:rPr>
        <w:t>2019 年 7 月 2 日星期二晚，将为您和客户在东京威斯汀酒店举办客户招待会，不要错过这个与您的商业伙伴进行社交和交流的绝佳机会。</w:t>
      </w:r>
    </w:p>
    <w:p>
      <w:pPr>
        <w:spacing w:after="0" w:line="158" w:lineRule="exact"/>
        <w:rPr>
          <w:sz w:val="20"/>
          <w:szCs w:val="20"/>
          <w:color w:val="auto"/>
        </w:rPr>
      </w:pPr>
    </w:p>
    <w:p>
      <w:pPr>
        <w:ind w:left="80"/>
        <w:spacing w:after="0" w:line="343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30"/>
          <w:szCs w:val="30"/>
          <w:b w:val="1"/>
          <w:bCs w:val="1"/>
          <w:color w:val="auto"/>
        </w:rPr>
        <w:t>展览和广告</w:t>
      </w:r>
    </w:p>
    <w:p>
      <w:pPr>
        <w:spacing w:after="0" w:line="163" w:lineRule="exact"/>
        <w:rPr>
          <w:sz w:val="20"/>
          <w:szCs w:val="20"/>
          <w:color w:val="auto"/>
        </w:rPr>
      </w:pPr>
    </w:p>
    <w:p>
      <w:pPr>
        <w:ind w:left="80"/>
        <w:spacing w:after="0" w:line="274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4"/>
          <w:szCs w:val="24"/>
          <w:color w:val="auto"/>
        </w:rPr>
        <w:t>展览区为您的公司提供了接触关键行业决策者的绝佳机会。向所有与会者宣传您的产品。费用为：</w:t>
      </w:r>
    </w:p>
    <w:p>
      <w:pPr>
        <w:spacing w:after="0" w:line="38" w:lineRule="exact"/>
        <w:rPr>
          <w:sz w:val="20"/>
          <w:szCs w:val="20"/>
          <w:color w:val="auto"/>
        </w:rPr>
      </w:pPr>
    </w:p>
    <w:p>
      <w:pPr>
        <w:ind w:left="80"/>
        <w:spacing w:after="0" w:line="274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4"/>
          <w:szCs w:val="24"/>
          <w:color w:val="auto"/>
        </w:rPr>
        <w:t>6 平方米（2 米 x 3 米）展位 3,200 美元</w:t>
      </w:r>
    </w:p>
    <w:p>
      <w:pPr>
        <w:spacing w:after="0" w:line="38" w:lineRule="exact"/>
        <w:rPr>
          <w:sz w:val="20"/>
          <w:szCs w:val="20"/>
          <w:color w:val="auto"/>
        </w:rPr>
      </w:pPr>
    </w:p>
    <w:p>
      <w:pPr>
        <w:ind w:left="80"/>
        <w:spacing w:after="0" w:line="274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4"/>
          <w:szCs w:val="24"/>
          <w:color w:val="auto"/>
        </w:rPr>
        <w:t>展板（板印）790 美元</w:t>
      </w:r>
    </w:p>
    <w:p>
      <w:pPr>
        <w:spacing w:after="0" w:line="157" w:lineRule="exact"/>
        <w:rPr>
          <w:sz w:val="20"/>
          <w:szCs w:val="20"/>
          <w:color w:val="auto"/>
        </w:rPr>
      </w:pPr>
    </w:p>
    <w:p>
      <w:pPr>
        <w:ind w:left="80"/>
        <w:spacing w:after="0" w:line="343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30"/>
          <w:szCs w:val="30"/>
          <w:b w:val="1"/>
          <w:bCs w:val="1"/>
          <w:color w:val="auto"/>
        </w:rPr>
        <w:t>会展组织机构（联系参加）</w:t>
      </w:r>
    </w:p>
    <w:p>
      <w:pPr>
        <w:spacing w:after="0" w:line="163" w:lineRule="exact"/>
        <w:rPr>
          <w:sz w:val="20"/>
          <w:szCs w:val="20"/>
          <w:color w:val="auto"/>
        </w:rPr>
      </w:pPr>
    </w:p>
    <w:tbl>
      <w:tblPr>
        <w:tblLayout w:type="fixed"/>
        <w:tblInd w:w="10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274"/>
        </w:trPr>
        <w:tc>
          <w:tcPr>
            <w:tcW w:w="2360" w:type="dxa"/>
            <w:vAlign w:val="bottom"/>
            <w:gridSpan w:val="2"/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联系人：刘颖</w:t>
            </w:r>
          </w:p>
        </w:tc>
        <w:tc>
          <w:tcPr>
            <w:tcW w:w="2420" w:type="dxa"/>
            <w:vAlign w:val="bottom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560" w:type="dxa"/>
            <w:vAlign w:val="bottom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2300" w:type="dxa"/>
            <w:vAlign w:val="bottom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3080" w:type="dxa"/>
            <w:vAlign w:val="bottom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</w:tr>
      <w:tr>
        <w:trPr>
          <w:trHeight w:val="312"/>
        </w:trPr>
        <w:tc>
          <w:tcPr>
            <w:tcW w:w="440" w:type="dxa"/>
            <w:vAlign w:val="bottom"/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手</w:t>
            </w:r>
          </w:p>
        </w:tc>
        <w:tc>
          <w:tcPr>
            <w:tcW w:w="1920" w:type="dxa"/>
            <w:vAlign w:val="bottom"/>
          </w:tcPr>
          <w:p>
            <w:pPr>
              <w:ind w:left="12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机：182 176 28</w:t>
            </w:r>
          </w:p>
        </w:tc>
        <w:tc>
          <w:tcPr>
            <w:tcW w:w="2980" w:type="dxa"/>
            <w:vAlign w:val="bottom"/>
            <w:gridSpan w:val="2"/>
          </w:tcPr>
          <w:p>
            <w:pPr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910 (中文</w:t>
            </w:r>
            <w:r>
              <w:rPr>
                <w:rFonts w:ascii="黑体" w:cs="黑体" w:eastAsia="黑体" w:hAnsi="黑体"/>
                <w:sz w:val="21"/>
                <w:szCs w:val="21"/>
                <w:color w:val="auto"/>
              </w:rPr>
              <w:t>，</w:t>
            </w: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 xml:space="preserve"> 微信同号)</w:t>
            </w:r>
          </w:p>
        </w:tc>
        <w:tc>
          <w:tcPr>
            <w:tcW w:w="23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30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</w:tr>
      <w:tr>
        <w:trPr>
          <w:trHeight w:val="312"/>
        </w:trPr>
        <w:tc>
          <w:tcPr>
            <w:tcW w:w="440" w:type="dxa"/>
            <w:vAlign w:val="bottom"/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电</w:t>
            </w:r>
          </w:p>
        </w:tc>
        <w:tc>
          <w:tcPr>
            <w:tcW w:w="1920" w:type="dxa"/>
            <w:vAlign w:val="bottom"/>
          </w:tcPr>
          <w:p>
            <w:pPr>
              <w:ind w:left="12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话：+41 62 785</w:t>
            </w:r>
          </w:p>
        </w:tc>
        <w:tc>
          <w:tcPr>
            <w:tcW w:w="5280" w:type="dxa"/>
            <w:vAlign w:val="bottom"/>
            <w:gridSpan w:val="3"/>
          </w:tcPr>
          <w:p>
            <w:pPr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  <w:w w:val="99"/>
              </w:rPr>
              <w:t>10 00 (英语，德语，法语，意大利语，西班牙语)</w:t>
            </w:r>
          </w:p>
        </w:tc>
        <w:tc>
          <w:tcPr>
            <w:tcW w:w="30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</w:tr>
      <w:tr>
        <w:trPr>
          <w:trHeight w:val="312"/>
        </w:trPr>
        <w:tc>
          <w:tcPr>
            <w:tcW w:w="44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4900" w:type="dxa"/>
            <w:vAlign w:val="bottom"/>
            <w:gridSpan w:val="3"/>
          </w:tcPr>
          <w:p>
            <w:pPr>
              <w:ind w:left="60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+41 79 124 08 50 (日语)</w:t>
            </w:r>
          </w:p>
        </w:tc>
        <w:tc>
          <w:tcPr>
            <w:tcW w:w="23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30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</w:tr>
      <w:tr>
        <w:trPr>
          <w:trHeight w:val="312"/>
        </w:trPr>
        <w:tc>
          <w:tcPr>
            <w:tcW w:w="440" w:type="dxa"/>
            <w:vAlign w:val="bottom"/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邮</w:t>
            </w:r>
          </w:p>
        </w:tc>
        <w:tc>
          <w:tcPr>
            <w:tcW w:w="1920" w:type="dxa"/>
            <w:vAlign w:val="bottom"/>
          </w:tcPr>
          <w:p>
            <w:pPr>
              <w:ind w:left="120"/>
              <w:spacing w:after="0" w:line="274" w:lineRule="exact"/>
              <w:rPr>
                <w:rFonts w:ascii="宋体" w:cs="宋体" w:eastAsia="宋体" w:hAnsi="宋体"/>
                <w:sz w:val="24"/>
                <w:szCs w:val="24"/>
                <w:color w:val="auto"/>
                <w:w w:val="98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  <w:w w:val="98"/>
              </w:rPr>
              <w:t>箱：</w:t>
            </w:r>
            <w:hyperlink r:id="rId11">
              <w:r>
                <w:rPr>
                  <w:rFonts w:ascii="宋体" w:cs="宋体" w:eastAsia="宋体" w:hAnsi="宋体"/>
                  <w:sz w:val="24"/>
                  <w:szCs w:val="24"/>
                  <w:color w:val="auto"/>
                  <w:w w:val="98"/>
                </w:rPr>
                <w:t>info@icm.ch</w:t>
              </w:r>
            </w:hyperlink>
          </w:p>
        </w:tc>
        <w:tc>
          <w:tcPr>
            <w:tcW w:w="2980" w:type="dxa"/>
            <w:vAlign w:val="bottom"/>
            <w:gridSpan w:val="2"/>
          </w:tcPr>
          <w:p>
            <w:pPr>
              <w:ind w:left="24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网  址：www.icm.ch</w:t>
            </w:r>
          </w:p>
        </w:tc>
        <w:tc>
          <w:tcPr>
            <w:tcW w:w="23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30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</w:tr>
      <w:tr>
        <w:trPr>
          <w:trHeight w:val="500"/>
        </w:trPr>
        <w:tc>
          <w:tcPr>
            <w:tcW w:w="7640" w:type="dxa"/>
            <w:vAlign w:val="bottom"/>
            <w:gridSpan w:val="5"/>
          </w:tcPr>
          <w:p>
            <w:pPr>
              <w:ind w:left="80"/>
              <w:spacing w:after="0" w:line="343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30"/>
                <w:szCs w:val="30"/>
                <w:b w:val="1"/>
                <w:bCs w:val="1"/>
                <w:color w:val="auto"/>
              </w:rPr>
              <w:t>注册费用</w:t>
            </w:r>
            <w:r>
              <w:rPr>
                <w:rFonts w:ascii="宋体" w:cs="宋体" w:eastAsia="宋体" w:hAnsi="宋体"/>
                <w:sz w:val="24"/>
                <w:szCs w:val="24"/>
                <w:b w:val="1"/>
                <w:bCs w:val="1"/>
                <w:color w:val="auto"/>
              </w:rPr>
              <w:t>（注册费包括会议，参加展览，午餐会及客户酒会）</w:t>
            </w:r>
          </w:p>
        </w:tc>
        <w:tc>
          <w:tcPr>
            <w:tcW w:w="30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</w:tr>
      <w:tr>
        <w:trPr>
          <w:trHeight w:val="164"/>
        </w:trPr>
        <w:tc>
          <w:tcPr>
            <w:tcW w:w="2360" w:type="dxa"/>
            <w:vAlign w:val="bottom"/>
            <w:tcBorders>
              <w:bottom w:val="single" w:sz="8" w:color="auto"/>
            </w:tcBorders>
            <w:gridSpan w:val="2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242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2860" w:type="dxa"/>
            <w:vAlign w:val="bottom"/>
            <w:tcBorders>
              <w:bottom w:val="single" w:sz="8" w:color="auto"/>
            </w:tcBorders>
            <w:gridSpan w:val="2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30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</w:tr>
      <w:tr>
        <w:trPr>
          <w:trHeight w:val="262"/>
        </w:trPr>
        <w:tc>
          <w:tcPr>
            <w:tcW w:w="2360" w:type="dxa"/>
            <w:vAlign w:val="bottom"/>
            <w:tcBorders>
              <w:left w:val="single" w:sz="8" w:color="auto"/>
            </w:tcBorders>
            <w:gridSpan w:val="2"/>
          </w:tcPr>
          <w:p>
            <w:pPr>
              <w:ind w:left="10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注册费用</w:t>
            </w:r>
          </w:p>
        </w:tc>
        <w:tc>
          <w:tcPr>
            <w:tcW w:w="242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286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ind w:left="8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  <w:w w:val="91"/>
              </w:rPr>
              <w:t>在 2019 年 5 月 15 号之前</w:t>
            </w:r>
          </w:p>
        </w:tc>
        <w:tc>
          <w:tcPr>
            <w:tcW w:w="3080" w:type="dxa"/>
            <w:vAlign w:val="bottom"/>
            <w:tcBorders>
              <w:right w:val="single" w:sz="8" w:color="auto"/>
            </w:tcBorders>
          </w:tcPr>
          <w:p>
            <w:pPr>
              <w:ind w:left="10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  <w:w w:val="97"/>
              </w:rPr>
              <w:t>在 2019 年 5 月 15 号之后</w:t>
            </w:r>
          </w:p>
        </w:tc>
      </w:tr>
      <w:tr>
        <w:trPr>
          <w:trHeight w:val="40"/>
        </w:trPr>
        <w:tc>
          <w:tcPr>
            <w:tcW w:w="2360" w:type="dxa"/>
            <w:vAlign w:val="bottom"/>
            <w:tcBorders>
              <w:left w:val="single" w:sz="8" w:color="auto"/>
              <w:bottom w:val="single" w:sz="8" w:color="auto"/>
            </w:tcBorders>
            <w:gridSpan w:val="2"/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2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2860" w:type="dxa"/>
            <w:vAlign w:val="bottom"/>
            <w:tcBorders>
              <w:bottom w:val="single" w:sz="8" w:color="auto"/>
              <w:right w:val="single" w:sz="8" w:color="auto"/>
            </w:tcBorders>
            <w:gridSpan w:val="2"/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30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</w:tr>
      <w:tr>
        <w:trPr>
          <w:trHeight w:val="262"/>
        </w:trPr>
        <w:tc>
          <w:tcPr>
            <w:tcW w:w="2360" w:type="dxa"/>
            <w:vAlign w:val="bottom"/>
            <w:tcBorders>
              <w:left w:val="single" w:sz="8" w:color="auto"/>
            </w:tcBorders>
            <w:gridSpan w:val="2"/>
          </w:tcPr>
          <w:p>
            <w:pPr>
              <w:ind w:left="10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参加者</w:t>
            </w:r>
          </w:p>
        </w:tc>
        <w:tc>
          <w:tcPr>
            <w:tcW w:w="242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286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ind w:left="8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USD 1590</w:t>
            </w:r>
          </w:p>
        </w:tc>
        <w:tc>
          <w:tcPr>
            <w:tcW w:w="3080" w:type="dxa"/>
            <w:vAlign w:val="bottom"/>
            <w:tcBorders>
              <w:right w:val="single" w:sz="8" w:color="auto"/>
            </w:tcBorders>
          </w:tcPr>
          <w:p>
            <w:pPr>
              <w:ind w:left="10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USD 1690</w:t>
            </w:r>
          </w:p>
        </w:tc>
      </w:tr>
      <w:tr>
        <w:trPr>
          <w:trHeight w:val="40"/>
        </w:trPr>
        <w:tc>
          <w:tcPr>
            <w:tcW w:w="2360" w:type="dxa"/>
            <w:vAlign w:val="bottom"/>
            <w:tcBorders>
              <w:left w:val="single" w:sz="8" w:color="auto"/>
              <w:bottom w:val="single" w:sz="8" w:color="auto"/>
            </w:tcBorders>
            <w:gridSpan w:val="2"/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2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56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23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30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</w:tr>
      <w:tr>
        <w:trPr>
          <w:trHeight w:val="262"/>
        </w:trPr>
        <w:tc>
          <w:tcPr>
            <w:tcW w:w="2360" w:type="dxa"/>
            <w:vAlign w:val="bottom"/>
            <w:tcBorders>
              <w:left w:val="single" w:sz="8" w:color="auto"/>
            </w:tcBorders>
            <w:gridSpan w:val="2"/>
          </w:tcPr>
          <w:p>
            <w:pPr>
              <w:ind w:left="10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演讲者</w:t>
            </w:r>
          </w:p>
        </w:tc>
        <w:tc>
          <w:tcPr>
            <w:tcW w:w="242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560" w:type="dxa"/>
            <w:vAlign w:val="bottom"/>
          </w:tcPr>
          <w:p>
            <w:pPr>
              <w:ind w:left="8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USD</w:t>
            </w:r>
          </w:p>
        </w:tc>
        <w:tc>
          <w:tcPr>
            <w:tcW w:w="2300" w:type="dxa"/>
            <w:vAlign w:val="bottom"/>
            <w:tcBorders>
              <w:right w:val="single" w:sz="8" w:color="auto"/>
            </w:tcBorders>
          </w:tcPr>
          <w:p>
            <w:pPr>
              <w:jc w:val="right"/>
              <w:ind w:right="170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990</w:t>
            </w:r>
          </w:p>
        </w:tc>
        <w:tc>
          <w:tcPr>
            <w:tcW w:w="3080" w:type="dxa"/>
            <w:vAlign w:val="bottom"/>
            <w:tcBorders>
              <w:right w:val="single" w:sz="8" w:color="auto"/>
            </w:tcBorders>
          </w:tcPr>
          <w:p>
            <w:pPr>
              <w:ind w:left="10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USD 1090</w:t>
            </w:r>
          </w:p>
        </w:tc>
      </w:tr>
      <w:tr>
        <w:trPr>
          <w:trHeight w:val="40"/>
        </w:trPr>
        <w:tc>
          <w:tcPr>
            <w:tcW w:w="2360" w:type="dxa"/>
            <w:vAlign w:val="bottom"/>
            <w:tcBorders>
              <w:left w:val="single" w:sz="8" w:color="auto"/>
              <w:bottom w:val="single" w:sz="8" w:color="auto"/>
            </w:tcBorders>
            <w:gridSpan w:val="2"/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2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56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23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30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</w:tr>
      <w:tr>
        <w:trPr>
          <w:trHeight w:val="262"/>
        </w:trPr>
        <w:tc>
          <w:tcPr>
            <w:tcW w:w="2360" w:type="dxa"/>
            <w:vAlign w:val="bottom"/>
            <w:tcBorders>
              <w:left w:val="single" w:sz="8" w:color="auto"/>
            </w:tcBorders>
            <w:gridSpan w:val="2"/>
          </w:tcPr>
          <w:p>
            <w:pPr>
              <w:ind w:left="10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大学或政府权威机构</w:t>
            </w:r>
          </w:p>
        </w:tc>
        <w:tc>
          <w:tcPr>
            <w:tcW w:w="242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560" w:type="dxa"/>
            <w:vAlign w:val="bottom"/>
          </w:tcPr>
          <w:p>
            <w:pPr>
              <w:ind w:left="8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USD</w:t>
            </w:r>
          </w:p>
        </w:tc>
        <w:tc>
          <w:tcPr>
            <w:tcW w:w="2300" w:type="dxa"/>
            <w:vAlign w:val="bottom"/>
            <w:tcBorders>
              <w:right w:val="single" w:sz="8" w:color="auto"/>
            </w:tcBorders>
          </w:tcPr>
          <w:p>
            <w:pPr>
              <w:jc w:val="right"/>
              <w:ind w:right="170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690</w:t>
            </w:r>
          </w:p>
        </w:tc>
        <w:tc>
          <w:tcPr>
            <w:tcW w:w="3080" w:type="dxa"/>
            <w:vAlign w:val="bottom"/>
            <w:tcBorders>
              <w:right w:val="single" w:sz="8" w:color="auto"/>
            </w:tcBorders>
          </w:tcPr>
          <w:p>
            <w:pPr>
              <w:ind w:left="10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USD  790</w:t>
            </w:r>
          </w:p>
        </w:tc>
      </w:tr>
      <w:tr>
        <w:trPr>
          <w:trHeight w:val="40"/>
        </w:trPr>
        <w:tc>
          <w:tcPr>
            <w:tcW w:w="440" w:type="dxa"/>
            <w:vAlign w:val="bottom"/>
            <w:tcBorders>
              <w:left w:val="single" w:sz="8" w:color="auto"/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192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2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56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23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30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</w:tr>
    </w:tbl>
    <w:p>
      <w:pPr>
        <w:spacing w:after="0" w:line="36" w:lineRule="exact"/>
        <w:rPr>
          <w:sz w:val="20"/>
          <w:szCs w:val="20"/>
          <w:color w:val="auto"/>
        </w:rPr>
      </w:pPr>
    </w:p>
    <w:p>
      <w:pPr>
        <w:ind w:left="220" w:right="300" w:hanging="239"/>
        <w:spacing w:after="0" w:line="274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4"/>
          <w:szCs w:val="24"/>
          <w:b w:val="1"/>
          <w:bCs w:val="1"/>
          <w:color w:val="auto"/>
        </w:rPr>
        <w:t>注:国内企业报名时备注“通过中国电子装备技术开发协会获知此报名信息”，可在相应标准上享受九折优惠。</w:t>
      </w:r>
    </w:p>
    <w:p>
      <w:pPr>
        <w:spacing w:after="0" w:line="39" w:lineRule="exact"/>
        <w:rPr>
          <w:sz w:val="20"/>
          <w:szCs w:val="20"/>
          <w:color w:val="auto"/>
        </w:rPr>
      </w:pPr>
    </w:p>
    <w:p>
      <w:pPr>
        <w:ind w:left="80"/>
        <w:spacing w:after="0" w:line="274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4"/>
          <w:szCs w:val="24"/>
          <w:color w:val="auto"/>
        </w:rPr>
        <w:t>2019 年 7 月 1 日星期一 - 工厂参观和研讨会</w:t>
      </w:r>
    </w:p>
    <w:p>
      <w:pPr>
        <w:spacing w:after="0" w:line="38" w:lineRule="exact"/>
        <w:rPr>
          <w:sz w:val="20"/>
          <w:szCs w:val="20"/>
          <w:color w:val="auto"/>
        </w:rPr>
      </w:pPr>
    </w:p>
    <w:p>
      <w:pPr>
        <w:ind w:left="80"/>
        <w:spacing w:after="0" w:line="274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4"/>
          <w:szCs w:val="24"/>
          <w:color w:val="auto"/>
        </w:rPr>
        <w:t>请留意时间表以确定您的选择</w:t>
      </w:r>
    </w:p>
    <w:p>
      <w:pPr>
        <w:spacing w:after="0" w:line="21" w:lineRule="exact"/>
        <w:rPr>
          <w:sz w:val="20"/>
          <w:szCs w:val="20"/>
          <w:color w:val="auto"/>
        </w:rPr>
      </w:pPr>
    </w:p>
    <w:tbl>
      <w:tblPr>
        <w:tblLayout w:type="fixed"/>
        <w:tblInd w:w="10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282"/>
        </w:trPr>
        <w:tc>
          <w:tcPr>
            <w:tcW w:w="4780" w:type="dxa"/>
            <w:vAlign w:val="bottom"/>
            <w:tcBorders>
              <w:top w:val="single" w:sz="8" w:color="auto"/>
              <w:left w:val="single" w:sz="8" w:color="auto"/>
              <w:right w:val="single" w:sz="8" w:color="auto"/>
            </w:tcBorders>
            <w:gridSpan w:val="2"/>
          </w:tcPr>
          <w:p>
            <w:pPr>
              <w:ind w:left="10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工厂参观</w:t>
            </w:r>
          </w:p>
        </w:tc>
        <w:tc>
          <w:tcPr>
            <w:tcW w:w="2860" w:type="dxa"/>
            <w:vAlign w:val="bottom"/>
            <w:tcBorders>
              <w:top w:val="single" w:sz="8" w:color="auto"/>
              <w:right w:val="single" w:sz="8" w:color="auto"/>
            </w:tcBorders>
            <w:gridSpan w:val="2"/>
          </w:tcPr>
          <w:p>
            <w:pPr>
              <w:ind w:left="8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  <w:w w:val="91"/>
              </w:rPr>
              <w:t>在 2019 年 5 月 15 号之前</w:t>
            </w:r>
          </w:p>
        </w:tc>
        <w:tc>
          <w:tcPr>
            <w:tcW w:w="3020" w:type="dxa"/>
            <w:vAlign w:val="bottom"/>
            <w:tcBorders>
              <w:top w:val="single" w:sz="8" w:color="auto"/>
              <w:right w:val="single" w:sz="8" w:color="auto"/>
            </w:tcBorders>
            <w:gridSpan w:val="2"/>
          </w:tcPr>
          <w:p>
            <w:pPr>
              <w:ind w:left="10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  <w:w w:val="95"/>
              </w:rPr>
              <w:t>在 2019 年 5 月 15 号之后</w:t>
            </w:r>
          </w:p>
        </w:tc>
      </w:tr>
      <w:tr>
        <w:trPr>
          <w:trHeight w:val="40"/>
        </w:trPr>
        <w:tc>
          <w:tcPr>
            <w:tcW w:w="478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  <w:gridSpan w:val="2"/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62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22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5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24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</w:tr>
      <w:tr>
        <w:trPr>
          <w:trHeight w:val="262"/>
        </w:trPr>
        <w:tc>
          <w:tcPr>
            <w:tcW w:w="4780" w:type="dxa"/>
            <w:vAlign w:val="bottom"/>
            <w:tcBorders>
              <w:left w:val="single" w:sz="8" w:color="auto"/>
              <w:right w:val="single" w:sz="8" w:color="auto"/>
            </w:tcBorders>
            <w:gridSpan w:val="2"/>
          </w:tcPr>
          <w:p>
            <w:pPr>
              <w:ind w:left="10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东日本资源回收有限公司和凤凰金属公司</w:t>
            </w:r>
          </w:p>
        </w:tc>
        <w:tc>
          <w:tcPr>
            <w:tcW w:w="620" w:type="dxa"/>
            <w:vAlign w:val="bottom"/>
          </w:tcPr>
          <w:p>
            <w:pPr>
              <w:ind w:left="8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USD</w:t>
            </w:r>
          </w:p>
        </w:tc>
        <w:tc>
          <w:tcPr>
            <w:tcW w:w="2240" w:type="dxa"/>
            <w:vAlign w:val="bottom"/>
            <w:tcBorders>
              <w:right w:val="single" w:sz="8" w:color="auto"/>
            </w:tcBorders>
          </w:tcPr>
          <w:p>
            <w:pPr>
              <w:jc w:val="right"/>
              <w:ind w:right="170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90</w:t>
            </w:r>
          </w:p>
        </w:tc>
        <w:tc>
          <w:tcPr>
            <w:tcW w:w="580" w:type="dxa"/>
            <w:vAlign w:val="bottom"/>
          </w:tcPr>
          <w:p>
            <w:pPr>
              <w:ind w:left="10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USD</w:t>
            </w:r>
          </w:p>
        </w:tc>
        <w:tc>
          <w:tcPr>
            <w:tcW w:w="2440" w:type="dxa"/>
            <w:vAlign w:val="bottom"/>
            <w:tcBorders>
              <w:right w:val="single" w:sz="8" w:color="auto"/>
            </w:tcBorders>
          </w:tcPr>
          <w:p>
            <w:pPr>
              <w:jc w:val="right"/>
              <w:ind w:right="184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150</w:t>
            </w:r>
          </w:p>
        </w:tc>
      </w:tr>
      <w:tr>
        <w:trPr>
          <w:trHeight w:val="312"/>
        </w:trPr>
        <w:tc>
          <w:tcPr>
            <w:tcW w:w="880" w:type="dxa"/>
            <w:vAlign w:val="bottom"/>
            <w:tcBorders>
              <w:left w:val="single" w:sz="8" w:color="auto"/>
            </w:tcBorders>
          </w:tcPr>
          <w:p>
            <w:pPr>
              <w:ind w:left="10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(08.15</w:t>
            </w:r>
          </w:p>
        </w:tc>
        <w:tc>
          <w:tcPr>
            <w:tcW w:w="390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– 17.00)</w:t>
            </w:r>
          </w:p>
        </w:tc>
        <w:tc>
          <w:tcPr>
            <w:tcW w:w="62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5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4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</w:tr>
      <w:tr>
        <w:trPr>
          <w:trHeight w:val="38"/>
        </w:trPr>
        <w:tc>
          <w:tcPr>
            <w:tcW w:w="478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  <w:gridSpan w:val="2"/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62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22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5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24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</w:tr>
      <w:tr>
        <w:trPr>
          <w:trHeight w:val="262"/>
        </w:trPr>
        <w:tc>
          <w:tcPr>
            <w:tcW w:w="4780" w:type="dxa"/>
            <w:vAlign w:val="bottom"/>
            <w:tcBorders>
              <w:left w:val="single" w:sz="8" w:color="auto"/>
              <w:right w:val="single" w:sz="8" w:color="auto"/>
            </w:tcBorders>
            <w:gridSpan w:val="2"/>
          </w:tcPr>
          <w:p>
            <w:pPr>
              <w:ind w:left="10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千叶县市川市超循环系统</w:t>
            </w:r>
          </w:p>
        </w:tc>
        <w:tc>
          <w:tcPr>
            <w:tcW w:w="620" w:type="dxa"/>
            <w:vAlign w:val="bottom"/>
          </w:tcPr>
          <w:p>
            <w:pPr>
              <w:ind w:left="8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USD</w:t>
            </w:r>
          </w:p>
        </w:tc>
        <w:tc>
          <w:tcPr>
            <w:tcW w:w="2240" w:type="dxa"/>
            <w:vAlign w:val="bottom"/>
            <w:tcBorders>
              <w:right w:val="single" w:sz="8" w:color="auto"/>
            </w:tcBorders>
          </w:tcPr>
          <w:p>
            <w:pPr>
              <w:jc w:val="right"/>
              <w:ind w:right="170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90</w:t>
            </w:r>
          </w:p>
        </w:tc>
        <w:tc>
          <w:tcPr>
            <w:tcW w:w="580" w:type="dxa"/>
            <w:vAlign w:val="bottom"/>
          </w:tcPr>
          <w:p>
            <w:pPr>
              <w:ind w:left="10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USD</w:t>
            </w:r>
          </w:p>
        </w:tc>
        <w:tc>
          <w:tcPr>
            <w:tcW w:w="2440" w:type="dxa"/>
            <w:vAlign w:val="bottom"/>
            <w:tcBorders>
              <w:right w:val="single" w:sz="8" w:color="auto"/>
            </w:tcBorders>
          </w:tcPr>
          <w:p>
            <w:pPr>
              <w:jc w:val="right"/>
              <w:ind w:right="184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150</w:t>
            </w:r>
          </w:p>
        </w:tc>
      </w:tr>
      <w:tr>
        <w:trPr>
          <w:trHeight w:val="312"/>
        </w:trPr>
        <w:tc>
          <w:tcPr>
            <w:tcW w:w="880" w:type="dxa"/>
            <w:vAlign w:val="bottom"/>
            <w:tcBorders>
              <w:left w:val="single" w:sz="8" w:color="auto"/>
            </w:tcBorders>
          </w:tcPr>
          <w:p>
            <w:pPr>
              <w:ind w:left="10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(13.00</w:t>
            </w:r>
          </w:p>
        </w:tc>
        <w:tc>
          <w:tcPr>
            <w:tcW w:w="390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– 18.00)</w:t>
            </w:r>
          </w:p>
        </w:tc>
        <w:tc>
          <w:tcPr>
            <w:tcW w:w="62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5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4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</w:tr>
      <w:tr>
        <w:trPr>
          <w:trHeight w:val="40"/>
        </w:trPr>
        <w:tc>
          <w:tcPr>
            <w:tcW w:w="880" w:type="dxa"/>
            <w:vAlign w:val="bottom"/>
            <w:tcBorders>
              <w:left w:val="single" w:sz="8" w:color="auto"/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39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2860" w:type="dxa"/>
            <w:vAlign w:val="bottom"/>
            <w:tcBorders>
              <w:bottom w:val="single" w:sz="8" w:color="auto"/>
              <w:right w:val="single" w:sz="8" w:color="auto"/>
            </w:tcBorders>
            <w:gridSpan w:val="2"/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3020" w:type="dxa"/>
            <w:vAlign w:val="bottom"/>
            <w:tcBorders>
              <w:bottom w:val="single" w:sz="8" w:color="auto"/>
              <w:right w:val="single" w:sz="8" w:color="auto"/>
            </w:tcBorders>
            <w:gridSpan w:val="2"/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</w:tr>
      <w:tr>
        <w:trPr>
          <w:trHeight w:val="302"/>
        </w:trPr>
        <w:tc>
          <w:tcPr>
            <w:tcW w:w="8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39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5880" w:type="dxa"/>
            <w:vAlign w:val="bottom"/>
            <w:tcBorders>
              <w:bottom w:val="single" w:sz="8" w:color="auto"/>
            </w:tcBorders>
            <w:gridSpan w:val="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</w:tr>
      <w:tr>
        <w:trPr>
          <w:trHeight w:val="262"/>
        </w:trPr>
        <w:tc>
          <w:tcPr>
            <w:tcW w:w="880" w:type="dxa"/>
            <w:vAlign w:val="bottom"/>
            <w:tcBorders>
              <w:left w:val="single" w:sz="8" w:color="auto"/>
            </w:tcBorders>
          </w:tcPr>
          <w:p>
            <w:pPr>
              <w:ind w:left="10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研讨会</w:t>
            </w:r>
          </w:p>
        </w:tc>
        <w:tc>
          <w:tcPr>
            <w:tcW w:w="39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286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ind w:left="8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  <w:w w:val="91"/>
              </w:rPr>
              <w:t>在 2019 年 5 月 15 号之前</w:t>
            </w:r>
          </w:p>
        </w:tc>
        <w:tc>
          <w:tcPr>
            <w:tcW w:w="302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ind w:left="10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  <w:w w:val="95"/>
              </w:rPr>
              <w:t>在 2019 年 5 月 15 号之后</w:t>
            </w:r>
          </w:p>
        </w:tc>
      </w:tr>
      <w:tr>
        <w:trPr>
          <w:trHeight w:val="40"/>
        </w:trPr>
        <w:tc>
          <w:tcPr>
            <w:tcW w:w="478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  <w:gridSpan w:val="2"/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62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22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5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24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</w:tr>
      <w:tr>
        <w:trPr>
          <w:trHeight w:val="262"/>
        </w:trPr>
        <w:tc>
          <w:tcPr>
            <w:tcW w:w="4780" w:type="dxa"/>
            <w:vAlign w:val="bottom"/>
            <w:tcBorders>
              <w:left w:val="single" w:sz="8" w:color="auto"/>
              <w:right w:val="single" w:sz="8" w:color="auto"/>
            </w:tcBorders>
            <w:gridSpan w:val="2"/>
          </w:tcPr>
          <w:p>
            <w:pPr>
              <w:ind w:left="10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如何处理缺陷或不稳定锂高压汽车蓄电池</w:t>
            </w:r>
          </w:p>
        </w:tc>
        <w:tc>
          <w:tcPr>
            <w:tcW w:w="620" w:type="dxa"/>
            <w:vAlign w:val="bottom"/>
          </w:tcPr>
          <w:p>
            <w:pPr>
              <w:ind w:left="8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USD</w:t>
            </w:r>
          </w:p>
        </w:tc>
        <w:tc>
          <w:tcPr>
            <w:tcW w:w="2240" w:type="dxa"/>
            <w:vAlign w:val="bottom"/>
            <w:tcBorders>
              <w:right w:val="single" w:sz="8" w:color="auto"/>
            </w:tcBorders>
          </w:tcPr>
          <w:p>
            <w:pPr>
              <w:jc w:val="right"/>
              <w:ind w:right="170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90</w:t>
            </w:r>
          </w:p>
        </w:tc>
        <w:tc>
          <w:tcPr>
            <w:tcW w:w="580" w:type="dxa"/>
            <w:vAlign w:val="bottom"/>
          </w:tcPr>
          <w:p>
            <w:pPr>
              <w:ind w:left="10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USD</w:t>
            </w:r>
          </w:p>
        </w:tc>
        <w:tc>
          <w:tcPr>
            <w:tcW w:w="2440" w:type="dxa"/>
            <w:vAlign w:val="bottom"/>
            <w:tcBorders>
              <w:right w:val="single" w:sz="8" w:color="auto"/>
            </w:tcBorders>
          </w:tcPr>
          <w:p>
            <w:pPr>
              <w:jc w:val="right"/>
              <w:ind w:right="184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150</w:t>
            </w:r>
          </w:p>
        </w:tc>
      </w:tr>
      <w:tr>
        <w:trPr>
          <w:trHeight w:val="312"/>
        </w:trPr>
        <w:tc>
          <w:tcPr>
            <w:tcW w:w="880" w:type="dxa"/>
            <w:vAlign w:val="bottom"/>
            <w:tcBorders>
              <w:left w:val="single" w:sz="8" w:color="auto"/>
            </w:tcBorders>
          </w:tcPr>
          <w:p>
            <w:pPr>
              <w:ind w:left="10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(09.00</w:t>
            </w:r>
          </w:p>
        </w:tc>
        <w:tc>
          <w:tcPr>
            <w:tcW w:w="390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– 12.00)</w:t>
            </w:r>
          </w:p>
        </w:tc>
        <w:tc>
          <w:tcPr>
            <w:tcW w:w="62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5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4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</w:tr>
      <w:tr>
        <w:trPr>
          <w:trHeight w:val="38"/>
        </w:trPr>
        <w:tc>
          <w:tcPr>
            <w:tcW w:w="478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  <w:gridSpan w:val="2"/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62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22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5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24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</w:tr>
      <w:tr>
        <w:trPr>
          <w:trHeight w:val="262"/>
        </w:trPr>
        <w:tc>
          <w:tcPr>
            <w:tcW w:w="4780" w:type="dxa"/>
            <w:vAlign w:val="bottom"/>
            <w:tcBorders>
              <w:left w:val="single" w:sz="8" w:color="auto"/>
              <w:right w:val="single" w:sz="8" w:color="auto"/>
            </w:tcBorders>
            <w:gridSpan w:val="2"/>
          </w:tcPr>
          <w:p>
            <w:pPr>
              <w:ind w:left="10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日本的电子交通:汽车塑料的消防安全挑战</w:t>
            </w:r>
          </w:p>
        </w:tc>
        <w:tc>
          <w:tcPr>
            <w:tcW w:w="620" w:type="dxa"/>
            <w:vAlign w:val="bottom"/>
          </w:tcPr>
          <w:p>
            <w:pPr>
              <w:ind w:left="8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USD</w:t>
            </w:r>
          </w:p>
        </w:tc>
        <w:tc>
          <w:tcPr>
            <w:tcW w:w="2240" w:type="dxa"/>
            <w:vAlign w:val="bottom"/>
            <w:tcBorders>
              <w:right w:val="single" w:sz="8" w:color="auto"/>
            </w:tcBorders>
          </w:tcPr>
          <w:p>
            <w:pPr>
              <w:jc w:val="right"/>
              <w:ind w:right="170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90</w:t>
            </w:r>
          </w:p>
        </w:tc>
        <w:tc>
          <w:tcPr>
            <w:tcW w:w="580" w:type="dxa"/>
            <w:vAlign w:val="bottom"/>
          </w:tcPr>
          <w:p>
            <w:pPr>
              <w:ind w:left="10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USD</w:t>
            </w:r>
          </w:p>
        </w:tc>
        <w:tc>
          <w:tcPr>
            <w:tcW w:w="2440" w:type="dxa"/>
            <w:vAlign w:val="bottom"/>
            <w:tcBorders>
              <w:right w:val="single" w:sz="8" w:color="auto"/>
            </w:tcBorders>
          </w:tcPr>
          <w:p>
            <w:pPr>
              <w:jc w:val="right"/>
              <w:ind w:right="1840"/>
              <w:spacing w:after="0" w:line="262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150</w:t>
            </w:r>
          </w:p>
        </w:tc>
      </w:tr>
      <w:tr>
        <w:trPr>
          <w:trHeight w:val="312"/>
        </w:trPr>
        <w:tc>
          <w:tcPr>
            <w:tcW w:w="880" w:type="dxa"/>
            <w:vAlign w:val="bottom"/>
            <w:tcBorders>
              <w:left w:val="single" w:sz="8" w:color="auto"/>
            </w:tcBorders>
          </w:tcPr>
          <w:p>
            <w:pPr>
              <w:ind w:left="10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(14.00</w:t>
            </w:r>
          </w:p>
        </w:tc>
        <w:tc>
          <w:tcPr>
            <w:tcW w:w="3900" w:type="dxa"/>
            <w:vAlign w:val="bottom"/>
            <w:tcBorders>
              <w:right w:val="single" w:sz="8" w:color="auto"/>
            </w:tcBorders>
          </w:tcPr>
          <w:p>
            <w:pPr>
              <w:ind w:left="60"/>
              <w:spacing w:after="0" w:line="274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4"/>
                <w:szCs w:val="24"/>
                <w:color w:val="auto"/>
              </w:rPr>
              <w:t>– 17.30)</w:t>
            </w:r>
          </w:p>
        </w:tc>
        <w:tc>
          <w:tcPr>
            <w:tcW w:w="62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5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4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</w:tr>
      <w:tr>
        <w:trPr>
          <w:trHeight w:val="40"/>
        </w:trPr>
        <w:tc>
          <w:tcPr>
            <w:tcW w:w="880" w:type="dxa"/>
            <w:vAlign w:val="bottom"/>
            <w:tcBorders>
              <w:left w:val="single" w:sz="8" w:color="auto"/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39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62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22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5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24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</w:tr>
    </w:tbl>
    <w:p>
      <w:pPr>
        <w:spacing w:after="0" w:line="310" w:lineRule="exact"/>
        <w:rPr>
          <w:sz w:val="20"/>
          <w:szCs w:val="20"/>
          <w:color w:val="auto"/>
        </w:rPr>
      </w:pPr>
    </w:p>
    <w:p>
      <w:pPr>
        <w:ind w:left="80"/>
        <w:spacing w:after="0" w:line="274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4"/>
          <w:szCs w:val="24"/>
          <w:color w:val="auto"/>
        </w:rPr>
        <w:t>会议语言是英语和日语，会议将会提供英语和日语的同声传译。</w:t>
      </w:r>
    </w:p>
    <w:sectPr>
      <w:pgSz w:w="11900" w:h="16841" w:orient="portrait"/>
      <w:cols w:equalWidth="0" w:num="1">
        <w:col w:w="10700"/>
      </w:cols>
      <w:pgMar w:left="640" w:top="995" w:right="566" w:bottom="1440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黑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Relationship Id="rId11" Type="http://schemas.openxmlformats.org/officeDocument/2006/relationships/hyperlink" Target="mailto:info@icm.ch&#194;&#160;" TargetMode=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2019-05-10T17:16:17Z</dcterms:created>
  <dcterms:modified xsi:type="dcterms:W3CDTF">2019-05-10T17:16:17Z</dcterms:modified>
</cp:coreProperties>
</file>